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sz w:val="72"/>
          <w:szCs w:val="72"/>
        </w:rPr>
      </w:pPr>
      <w:bookmarkStart w:id="0" w:name="_Toc15377425"/>
      <w:bookmarkStart w:id="1" w:name="_Toc15396475"/>
      <w:bookmarkStart w:id="2" w:name="_Toc15377193"/>
      <w:bookmarkStart w:id="3" w:name="_Toc15378441"/>
      <w:bookmarkStart w:id="4" w:name="_Toc15396597"/>
      <w:bookmarkStart w:id="5" w:name="_Toc15306267"/>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73" w:name="_GoBack"/>
      <w:r>
        <w:rPr>
          <w:rFonts w:hint="eastAsia" w:ascii="方正小标宋简体" w:eastAsia="方正小标宋简体" w:cs="方正小标宋简体"/>
          <w:sz w:val="72"/>
          <w:szCs w:val="72"/>
        </w:rPr>
        <w:t>2021年度</w:t>
      </w:r>
      <w:bookmarkEnd w:id="0"/>
      <w:bookmarkEnd w:id="1"/>
      <w:bookmarkEnd w:id="2"/>
      <w:bookmarkEnd w:id="3"/>
      <w:bookmarkEnd w:id="4"/>
    </w:p>
    <w:p>
      <w:pPr>
        <w:adjustRightInd w:val="0"/>
        <w:snapToGrid w:val="0"/>
        <w:spacing w:line="360" w:lineRule="auto"/>
        <w:jc w:val="center"/>
        <w:outlineLvl w:val="0"/>
        <w:rPr>
          <w:rFonts w:ascii="方正小标宋简体" w:eastAsia="方正小标宋简体" w:cs="方正小标宋简体"/>
          <w:sz w:val="72"/>
          <w:szCs w:val="72"/>
        </w:rPr>
      </w:pPr>
      <w:bookmarkStart w:id="6" w:name="_Toc15377426"/>
      <w:bookmarkStart w:id="7" w:name="_Toc15396598"/>
      <w:bookmarkStart w:id="8" w:name="_Toc15396476"/>
      <w:bookmarkStart w:id="9" w:name="_Toc15378442"/>
      <w:bookmarkStart w:id="10" w:name="_Toc15377194"/>
      <w:r>
        <w:rPr>
          <w:rFonts w:ascii="方正小标宋简体" w:eastAsia="方正小标宋简体" w:cs="方正小标宋简体"/>
          <w:sz w:val="72"/>
          <w:szCs w:val="72"/>
        </w:rPr>
        <w:t>阿坝州</w:t>
      </w:r>
      <w:bookmarkEnd w:id="5"/>
      <w:bookmarkStart w:id="11" w:name="_Toc15306268"/>
      <w:r>
        <w:rPr>
          <w:rFonts w:hint="eastAsia" w:ascii="方正小标宋简体" w:eastAsia="方正小标宋简体" w:cs="方正小标宋简体"/>
          <w:sz w:val="72"/>
          <w:szCs w:val="72"/>
          <w:lang w:val="en-US" w:eastAsia="zh-CN"/>
        </w:rPr>
        <w:t>档案馆</w:t>
      </w:r>
      <w:r>
        <w:rPr>
          <w:rFonts w:hint="eastAsia" w:ascii="方正小标宋简体" w:eastAsia="方正小标宋简体" w:cs="方正小标宋简体"/>
          <w:sz w:val="72"/>
          <w:szCs w:val="72"/>
        </w:rPr>
        <w:t>部门决算</w:t>
      </w:r>
      <w:bookmarkEnd w:id="73"/>
      <w:bookmarkEnd w:id="6"/>
      <w:bookmarkEnd w:id="7"/>
      <w:bookmarkEnd w:id="8"/>
      <w:bookmarkEnd w:id="9"/>
      <w:bookmarkEnd w:id="10"/>
      <w:bookmarkEnd w:id="11"/>
    </w:p>
    <w:p>
      <w:pPr>
        <w:pStyle w:val="7"/>
        <w:spacing w:before="93"/>
      </w:pPr>
    </w:p>
    <w:p>
      <w:pPr>
        <w:pStyle w:val="7"/>
        <w:spacing w:before="93"/>
      </w:pPr>
    </w:p>
    <w:p>
      <w:pPr>
        <w:pStyle w:val="7"/>
        <w:spacing w:before="93"/>
      </w:pPr>
    </w:p>
    <w:p>
      <w:pPr>
        <w:pStyle w:val="7"/>
        <w:spacing w:before="93"/>
      </w:pPr>
    </w:p>
    <w:p>
      <w:pPr>
        <w:pStyle w:val="7"/>
        <w:spacing w:before="93"/>
      </w:pPr>
    </w:p>
    <w:p>
      <w:pPr>
        <w:pStyle w:val="7"/>
        <w:spacing w:before="93"/>
      </w:pPr>
    </w:p>
    <w:p>
      <w:pPr>
        <w:widowControl/>
        <w:jc w:val="center"/>
        <w:rPr>
          <w:rFonts w:ascii="黑体" w:eastAsia="黑体"/>
          <w:sz w:val="48"/>
          <w:szCs w:val="48"/>
        </w:rPr>
      </w:pPr>
      <w:r>
        <w:rPr>
          <w:rFonts w:hint="eastAsia" w:ascii="仿宋_GB2312" w:eastAsia="仿宋_GB2312" w:cs="仿宋_GB2312"/>
          <w:sz w:val="32"/>
          <w:szCs w:val="32"/>
        </w:rPr>
        <w:t>已经保密审查、内容审定，同意对外公开</w:t>
      </w:r>
      <w:r>
        <w:rPr>
          <w:rFonts w:ascii="方正小标宋简体" w:eastAsia="方正小标宋简体"/>
          <w:sz w:val="36"/>
          <w:szCs w:val="36"/>
        </w:rPr>
        <w:br w:type="page"/>
      </w:r>
      <w:r>
        <w:rPr>
          <w:rFonts w:hint="eastAsia" w:ascii="黑体" w:eastAsia="黑体"/>
          <w:sz w:val="48"/>
          <w:szCs w:val="48"/>
        </w:rPr>
        <w:t>目录</w:t>
      </w:r>
    </w:p>
    <w:p>
      <w:pPr>
        <w:widowControl/>
        <w:jc w:val="center"/>
        <w:rPr>
          <w:rFonts w:ascii="黑体" w:eastAsia="黑体" w:cs="Arial"/>
          <w:sz w:val="28"/>
          <w:szCs w:val="28"/>
        </w:rPr>
      </w:pPr>
    </w:p>
    <w:p>
      <w:pPr>
        <w:pStyle w:val="13"/>
      </w:pPr>
      <w:r>
        <w:rPr>
          <w:rFonts w:hint="eastAsia"/>
        </w:rPr>
        <w:t>公开时间：2022年</w:t>
      </w:r>
      <w:r>
        <w:t>9</w:t>
      </w:r>
      <w:r>
        <w:rPr>
          <w:rFonts w:hint="eastAsia"/>
        </w:rPr>
        <w:t>月29日</w:t>
      </w:r>
    </w:p>
    <w:p/>
    <w:p>
      <w:pPr>
        <w:pStyle w:val="13"/>
        <w:adjustRightInd w:val="0"/>
        <w:snapToGrid w:val="0"/>
        <w:spacing w:before="0" w:line="440" w:lineRule="exact"/>
        <w:jc w:val="left"/>
        <w:rPr>
          <w:rFonts w:cs="Arial"/>
          <w:sz w:val="24"/>
          <w:szCs w:val="24"/>
        </w:rPr>
      </w:pPr>
      <w:r>
        <w:rPr>
          <w:rFonts w:hint="eastAsia"/>
          <w:sz w:val="24"/>
        </w:rPr>
        <w:t>第一部分</w:t>
      </w:r>
      <w:r>
        <w:rPr>
          <w:sz w:val="24"/>
        </w:rPr>
        <w:t xml:space="preserve"> </w:t>
      </w:r>
      <w:r>
        <w:rPr>
          <w:rFonts w:hint="eastAsia"/>
          <w:sz w:val="24"/>
        </w:rPr>
        <w:t>部门概况</w:t>
      </w:r>
    </w:p>
    <w:p>
      <w:pPr>
        <w:pStyle w:val="15"/>
        <w:adjustRightInd w:val="0"/>
        <w:snapToGrid w:val="0"/>
        <w:spacing w:line="440" w:lineRule="exact"/>
        <w:ind w:left="420"/>
        <w:jc w:val="left"/>
        <w:rPr>
          <w:rFonts w:ascii="仿宋" w:eastAsia="仿宋"/>
          <w:sz w:val="24"/>
        </w:rPr>
      </w:pPr>
      <w:r>
        <w:rPr>
          <w:rFonts w:hint="eastAsia"/>
          <w:sz w:val="24"/>
        </w:rPr>
        <w:t>一、基本职能及主要工作</w:t>
      </w:r>
    </w:p>
    <w:p>
      <w:pPr>
        <w:pStyle w:val="15"/>
        <w:adjustRightInd w:val="0"/>
        <w:snapToGrid w:val="0"/>
        <w:spacing w:line="440" w:lineRule="exact"/>
        <w:ind w:left="420"/>
        <w:jc w:val="left"/>
        <w:rPr>
          <w:rFonts w:ascii="仿宋" w:eastAsia="仿宋" w:cs="Arial"/>
          <w:sz w:val="24"/>
        </w:rPr>
      </w:pPr>
      <w:r>
        <w:rPr>
          <w:rFonts w:hint="eastAsia"/>
          <w:sz w:val="24"/>
        </w:rPr>
        <w:t>二、机构设置</w:t>
      </w:r>
    </w:p>
    <w:p>
      <w:pPr>
        <w:pStyle w:val="13"/>
        <w:adjustRightInd w:val="0"/>
        <w:snapToGrid w:val="0"/>
        <w:spacing w:before="0" w:line="440" w:lineRule="exact"/>
        <w:jc w:val="left"/>
        <w:rPr>
          <w:sz w:val="24"/>
          <w:szCs w:val="24"/>
        </w:rPr>
      </w:pPr>
      <w:r>
        <w:rPr>
          <w:rFonts w:hint="eastAsia"/>
          <w:sz w:val="24"/>
        </w:rPr>
        <w:t>第二部分 2021年度部门决算情况说明</w:t>
      </w:r>
    </w:p>
    <w:p>
      <w:pPr>
        <w:pStyle w:val="15"/>
        <w:adjustRightInd w:val="0"/>
        <w:snapToGrid w:val="0"/>
        <w:spacing w:line="440" w:lineRule="exact"/>
        <w:ind w:left="420"/>
        <w:jc w:val="left"/>
        <w:rPr>
          <w:rFonts w:ascii="仿宋" w:eastAsia="仿宋" w:cs="Arial"/>
          <w:sz w:val="24"/>
        </w:rPr>
      </w:pPr>
      <w:r>
        <w:rPr>
          <w:rFonts w:hint="eastAsia"/>
          <w:sz w:val="24"/>
        </w:rPr>
        <w:t>一、收入支出决算总体情况说明</w:t>
      </w:r>
    </w:p>
    <w:p>
      <w:pPr>
        <w:pStyle w:val="15"/>
        <w:adjustRightInd w:val="0"/>
        <w:snapToGrid w:val="0"/>
        <w:spacing w:line="440" w:lineRule="exact"/>
        <w:ind w:left="420"/>
        <w:jc w:val="left"/>
        <w:rPr>
          <w:rFonts w:ascii="仿宋" w:eastAsia="仿宋" w:cs="Arial"/>
          <w:sz w:val="24"/>
        </w:rPr>
      </w:pPr>
      <w:r>
        <w:rPr>
          <w:rFonts w:hint="eastAsia"/>
          <w:sz w:val="24"/>
        </w:rPr>
        <w:t>二、收入决算情况说明</w:t>
      </w:r>
    </w:p>
    <w:p>
      <w:pPr>
        <w:pStyle w:val="15"/>
        <w:adjustRightInd w:val="0"/>
        <w:snapToGrid w:val="0"/>
        <w:spacing w:line="440" w:lineRule="exact"/>
        <w:ind w:left="420"/>
        <w:jc w:val="left"/>
        <w:rPr>
          <w:rFonts w:ascii="仿宋" w:eastAsia="仿宋" w:cs="Arial"/>
          <w:sz w:val="24"/>
        </w:rPr>
      </w:pPr>
      <w:r>
        <w:rPr>
          <w:rFonts w:hint="eastAsia"/>
          <w:sz w:val="24"/>
        </w:rPr>
        <w:t>三、支出决算情况说明</w:t>
      </w:r>
    </w:p>
    <w:p>
      <w:pPr>
        <w:pStyle w:val="15"/>
        <w:adjustRightInd w:val="0"/>
        <w:snapToGrid w:val="0"/>
        <w:spacing w:line="440" w:lineRule="exact"/>
        <w:ind w:left="420"/>
        <w:jc w:val="left"/>
        <w:rPr>
          <w:rFonts w:ascii="仿宋" w:eastAsia="仿宋" w:cs="Arial"/>
          <w:sz w:val="24"/>
        </w:rPr>
      </w:pPr>
      <w:r>
        <w:rPr>
          <w:rFonts w:hint="eastAsia"/>
          <w:sz w:val="24"/>
        </w:rPr>
        <w:t>四、财政拨款收入支出决算总体情况说明</w:t>
      </w:r>
    </w:p>
    <w:p>
      <w:pPr>
        <w:pStyle w:val="15"/>
        <w:adjustRightInd w:val="0"/>
        <w:snapToGrid w:val="0"/>
        <w:spacing w:line="440" w:lineRule="exact"/>
        <w:ind w:left="420"/>
        <w:jc w:val="left"/>
        <w:rPr>
          <w:rFonts w:ascii="仿宋" w:eastAsia="仿宋" w:cs="Arial"/>
          <w:sz w:val="24"/>
        </w:rPr>
      </w:pPr>
      <w:r>
        <w:rPr>
          <w:rFonts w:hint="eastAsia"/>
          <w:sz w:val="24"/>
        </w:rPr>
        <w:t>五、一般公共预算财政拨款支出决算情况说明</w:t>
      </w:r>
    </w:p>
    <w:p>
      <w:pPr>
        <w:pStyle w:val="15"/>
        <w:adjustRightInd w:val="0"/>
        <w:snapToGrid w:val="0"/>
        <w:spacing w:line="440" w:lineRule="exact"/>
        <w:ind w:left="420"/>
        <w:jc w:val="left"/>
        <w:rPr>
          <w:rFonts w:ascii="仿宋" w:eastAsia="仿宋" w:cs="Arial"/>
          <w:sz w:val="24"/>
        </w:rPr>
      </w:pPr>
      <w:r>
        <w:rPr>
          <w:rFonts w:hint="eastAsia"/>
          <w:sz w:val="24"/>
        </w:rPr>
        <w:t>六、一般公共预算财政拨款基本支出决算情况说明</w:t>
      </w:r>
    </w:p>
    <w:p>
      <w:pPr>
        <w:pStyle w:val="15"/>
        <w:adjustRightInd w:val="0"/>
        <w:snapToGrid w:val="0"/>
        <w:spacing w:line="440" w:lineRule="exact"/>
        <w:ind w:left="420"/>
        <w:jc w:val="left"/>
        <w:rPr>
          <w:rFonts w:ascii="仿宋" w:eastAsia="仿宋" w:cs="Arial"/>
          <w:sz w:val="24"/>
        </w:rPr>
      </w:pPr>
      <w:r>
        <w:rPr>
          <w:rFonts w:hint="eastAsia"/>
          <w:sz w:val="24"/>
        </w:rPr>
        <w:t>七、“三公”经费财政拨款支出决算情况说明</w:t>
      </w:r>
    </w:p>
    <w:p>
      <w:pPr>
        <w:pStyle w:val="15"/>
        <w:adjustRightInd w:val="0"/>
        <w:snapToGrid w:val="0"/>
        <w:spacing w:line="440" w:lineRule="exact"/>
        <w:ind w:left="420"/>
        <w:jc w:val="left"/>
        <w:rPr>
          <w:rFonts w:ascii="仿宋" w:eastAsia="仿宋" w:cs="Arial"/>
          <w:sz w:val="24"/>
        </w:rPr>
      </w:pPr>
      <w:r>
        <w:rPr>
          <w:rFonts w:hint="eastAsia"/>
          <w:sz w:val="24"/>
        </w:rPr>
        <w:t>八、政府性基金预算支出决算情况说明</w:t>
      </w:r>
    </w:p>
    <w:p>
      <w:pPr>
        <w:pStyle w:val="15"/>
        <w:adjustRightInd w:val="0"/>
        <w:snapToGrid w:val="0"/>
        <w:spacing w:line="440" w:lineRule="exact"/>
        <w:ind w:left="0" w:leftChars="0"/>
        <w:jc w:val="left"/>
        <w:rPr>
          <w:rFonts w:ascii="宋体" w:cs="宋体"/>
          <w:sz w:val="24"/>
        </w:rPr>
      </w:pPr>
      <w:r>
        <w:rPr>
          <w:rFonts w:hint="eastAsia" w:ascii="宋体" w:cs="宋体"/>
          <w:sz w:val="24"/>
        </w:rPr>
        <w:t>九、国有资本经营预算支出决算情况说明</w:t>
      </w:r>
    </w:p>
    <w:p>
      <w:pPr>
        <w:adjustRightInd w:val="0"/>
        <w:snapToGrid w:val="0"/>
        <w:spacing w:line="440" w:lineRule="exact"/>
        <w:ind w:firstLine="420" w:firstLineChars="175"/>
        <w:jc w:val="left"/>
        <w:rPr>
          <w:rFonts w:ascii="宋体" w:cs="宋体"/>
          <w:sz w:val="24"/>
        </w:rPr>
      </w:pPr>
      <w:r>
        <w:rPr>
          <w:rStyle w:val="22"/>
          <w:rFonts w:hint="eastAsia" w:ascii="宋体" w:cs="宋体"/>
          <w:color w:val="auto"/>
          <w:sz w:val="24"/>
          <w:u w:val="none"/>
        </w:rPr>
        <w:t>十、</w:t>
      </w:r>
      <w:r>
        <w:rPr>
          <w:rFonts w:hint="eastAsia" w:ascii="宋体" w:cs="宋体"/>
          <w:sz w:val="24"/>
        </w:rPr>
        <w:t>其他重要事项的情况说明</w:t>
      </w:r>
      <w:r>
        <w:rPr>
          <w:rFonts w:hint="eastAsia" w:ascii="宋体" w:cs="宋体"/>
          <w:sz w:val="24"/>
        </w:rPr>
        <w:tab/>
      </w:r>
    </w:p>
    <w:p>
      <w:pPr>
        <w:pStyle w:val="13"/>
        <w:adjustRightInd w:val="0"/>
        <w:snapToGrid w:val="0"/>
        <w:spacing w:before="0" w:line="440" w:lineRule="exact"/>
        <w:jc w:val="left"/>
        <w:rPr>
          <w:rFonts w:cs="Arial"/>
          <w:sz w:val="24"/>
          <w:szCs w:val="24"/>
        </w:rPr>
      </w:pPr>
      <w:r>
        <w:rPr>
          <w:rFonts w:hint="eastAsia"/>
          <w:sz w:val="24"/>
        </w:rPr>
        <w:t>第三部分</w:t>
      </w:r>
      <w:r>
        <w:rPr>
          <w:sz w:val="24"/>
        </w:rPr>
        <w:t xml:space="preserve"> </w:t>
      </w:r>
      <w:r>
        <w:rPr>
          <w:rFonts w:hint="eastAsia"/>
          <w:sz w:val="24"/>
        </w:rPr>
        <w:t>名词解释</w:t>
      </w:r>
    </w:p>
    <w:p>
      <w:pPr>
        <w:pStyle w:val="13"/>
        <w:adjustRightInd w:val="0"/>
        <w:snapToGrid w:val="0"/>
        <w:spacing w:before="0" w:line="440" w:lineRule="exact"/>
        <w:jc w:val="left"/>
        <w:rPr>
          <w:rFonts w:cs="Arial"/>
          <w:sz w:val="24"/>
          <w:szCs w:val="24"/>
        </w:rPr>
      </w:pPr>
      <w:r>
        <w:rPr>
          <w:rFonts w:hint="eastAsia"/>
          <w:sz w:val="24"/>
        </w:rPr>
        <w:t>第四部分</w:t>
      </w:r>
      <w:r>
        <w:rPr>
          <w:sz w:val="24"/>
        </w:rPr>
        <w:t xml:space="preserve"> </w:t>
      </w:r>
      <w:r>
        <w:rPr>
          <w:rFonts w:hint="eastAsia"/>
          <w:sz w:val="24"/>
        </w:rPr>
        <w:t>附件</w:t>
      </w:r>
    </w:p>
    <w:p>
      <w:pPr>
        <w:pStyle w:val="13"/>
        <w:adjustRightInd w:val="0"/>
        <w:snapToGrid w:val="0"/>
        <w:spacing w:before="0" w:line="440" w:lineRule="exact"/>
        <w:jc w:val="left"/>
        <w:rPr>
          <w:rFonts w:cs="Arial"/>
          <w:sz w:val="24"/>
          <w:szCs w:val="24"/>
        </w:rPr>
      </w:pPr>
      <w:r>
        <w:rPr>
          <w:rFonts w:hint="eastAsia"/>
          <w:sz w:val="24"/>
        </w:rPr>
        <w:t>第五部分</w:t>
      </w:r>
      <w:r>
        <w:rPr>
          <w:sz w:val="24"/>
        </w:rPr>
        <w:t xml:space="preserve"> </w:t>
      </w:r>
      <w:r>
        <w:rPr>
          <w:rFonts w:hint="eastAsia"/>
          <w:sz w:val="24"/>
        </w:rPr>
        <w:t>附表</w:t>
      </w:r>
    </w:p>
    <w:p>
      <w:pPr>
        <w:pStyle w:val="15"/>
        <w:adjustRightInd w:val="0"/>
        <w:snapToGrid w:val="0"/>
        <w:spacing w:line="440" w:lineRule="exact"/>
        <w:ind w:left="420"/>
        <w:jc w:val="left"/>
        <w:rPr>
          <w:rFonts w:ascii="仿宋" w:eastAsia="仿宋" w:cs="Arial"/>
          <w:sz w:val="24"/>
        </w:rPr>
      </w:pPr>
      <w:r>
        <w:rPr>
          <w:rFonts w:hint="eastAsia" w:ascii="仿宋" w:eastAsia="仿宋"/>
          <w:sz w:val="24"/>
        </w:rPr>
        <w:t>一、</w:t>
      </w:r>
      <w:r>
        <w:rPr>
          <w:rFonts w:hint="eastAsia"/>
          <w:sz w:val="24"/>
        </w:rPr>
        <w:t>收入支出决算总表</w:t>
      </w:r>
    </w:p>
    <w:p>
      <w:pPr>
        <w:pStyle w:val="15"/>
        <w:adjustRightInd w:val="0"/>
        <w:snapToGrid w:val="0"/>
        <w:spacing w:line="440" w:lineRule="exact"/>
        <w:ind w:left="420"/>
        <w:jc w:val="left"/>
        <w:rPr>
          <w:rFonts w:ascii="宋体" w:cs="宋体"/>
          <w:sz w:val="24"/>
        </w:rPr>
      </w:pPr>
      <w:r>
        <w:rPr>
          <w:rFonts w:hint="eastAsia" w:ascii="宋体" w:cs="宋体"/>
          <w:sz w:val="24"/>
        </w:rPr>
        <w:t>二、收入决算表</w:t>
      </w:r>
    </w:p>
    <w:p>
      <w:pPr>
        <w:pStyle w:val="15"/>
        <w:adjustRightInd w:val="0"/>
        <w:snapToGrid w:val="0"/>
        <w:spacing w:line="440" w:lineRule="exact"/>
        <w:ind w:left="420"/>
        <w:jc w:val="left"/>
        <w:rPr>
          <w:rFonts w:ascii="宋体" w:cs="宋体"/>
          <w:sz w:val="24"/>
        </w:rPr>
      </w:pPr>
      <w:r>
        <w:rPr>
          <w:rFonts w:hint="eastAsia" w:ascii="宋体" w:cs="宋体"/>
          <w:sz w:val="24"/>
        </w:rPr>
        <w:t>三、支出决算表</w:t>
      </w:r>
    </w:p>
    <w:p>
      <w:pPr>
        <w:pStyle w:val="15"/>
        <w:adjustRightInd w:val="0"/>
        <w:snapToGrid w:val="0"/>
        <w:spacing w:line="440" w:lineRule="exact"/>
        <w:ind w:left="420"/>
        <w:jc w:val="left"/>
        <w:rPr>
          <w:rFonts w:ascii="宋体" w:cs="宋体"/>
          <w:sz w:val="24"/>
        </w:rPr>
      </w:pPr>
      <w:r>
        <w:rPr>
          <w:rFonts w:hint="eastAsia" w:ascii="宋体" w:cs="宋体"/>
          <w:sz w:val="24"/>
        </w:rPr>
        <w:t>四、财政拨款收入支出决算总表</w:t>
      </w:r>
    </w:p>
    <w:p>
      <w:pPr>
        <w:pStyle w:val="15"/>
        <w:adjustRightInd w:val="0"/>
        <w:snapToGrid w:val="0"/>
        <w:spacing w:line="440" w:lineRule="exact"/>
        <w:ind w:left="420"/>
        <w:jc w:val="left"/>
        <w:rPr>
          <w:rFonts w:ascii="宋体" w:cs="宋体"/>
          <w:sz w:val="24"/>
        </w:rPr>
      </w:pPr>
      <w:r>
        <w:rPr>
          <w:rFonts w:hint="eastAsia" w:ascii="宋体" w:cs="宋体"/>
          <w:sz w:val="24"/>
        </w:rPr>
        <w:t>五、财政拨款支出决算明细表</w:t>
      </w:r>
    </w:p>
    <w:p>
      <w:pPr>
        <w:pStyle w:val="15"/>
        <w:adjustRightInd w:val="0"/>
        <w:snapToGrid w:val="0"/>
        <w:spacing w:line="440" w:lineRule="exact"/>
        <w:ind w:left="420"/>
        <w:jc w:val="left"/>
        <w:rPr>
          <w:rFonts w:ascii="宋体" w:cs="宋体"/>
          <w:sz w:val="24"/>
        </w:rPr>
      </w:pPr>
      <w:r>
        <w:rPr>
          <w:rFonts w:hint="eastAsia" w:ascii="宋体" w:cs="宋体"/>
          <w:sz w:val="24"/>
        </w:rPr>
        <w:t>六、一般公共预算财政拨款支出决算表</w:t>
      </w:r>
    </w:p>
    <w:p>
      <w:pPr>
        <w:pStyle w:val="15"/>
        <w:adjustRightInd w:val="0"/>
        <w:snapToGrid w:val="0"/>
        <w:spacing w:line="440" w:lineRule="exact"/>
        <w:ind w:left="420"/>
        <w:jc w:val="left"/>
        <w:rPr>
          <w:rFonts w:ascii="宋体" w:cs="宋体"/>
          <w:sz w:val="24"/>
        </w:rPr>
      </w:pPr>
      <w:r>
        <w:rPr>
          <w:rFonts w:hint="eastAsia" w:ascii="宋体" w:cs="宋体"/>
          <w:sz w:val="24"/>
        </w:rPr>
        <w:t>七、一般公共预算财政拨款支出决算明细表</w:t>
      </w:r>
    </w:p>
    <w:p>
      <w:pPr>
        <w:pStyle w:val="15"/>
        <w:adjustRightInd w:val="0"/>
        <w:snapToGrid w:val="0"/>
        <w:spacing w:line="440" w:lineRule="exact"/>
        <w:ind w:left="420"/>
        <w:jc w:val="left"/>
        <w:rPr>
          <w:rFonts w:ascii="宋体" w:cs="宋体"/>
          <w:sz w:val="24"/>
        </w:rPr>
      </w:pPr>
      <w:r>
        <w:rPr>
          <w:rFonts w:hint="eastAsia" w:ascii="宋体" w:cs="宋体"/>
          <w:sz w:val="24"/>
        </w:rPr>
        <w:t>八、一般公共预算财政拨款基本支出决算表</w:t>
      </w:r>
    </w:p>
    <w:p>
      <w:pPr>
        <w:pStyle w:val="15"/>
        <w:adjustRightInd w:val="0"/>
        <w:snapToGrid w:val="0"/>
        <w:spacing w:line="440" w:lineRule="exact"/>
        <w:ind w:left="420"/>
        <w:jc w:val="left"/>
        <w:rPr>
          <w:rFonts w:ascii="宋体" w:cs="宋体"/>
          <w:sz w:val="24"/>
        </w:rPr>
      </w:pPr>
      <w:r>
        <w:rPr>
          <w:rFonts w:hint="eastAsia" w:ascii="宋体" w:cs="宋体"/>
          <w:sz w:val="24"/>
        </w:rPr>
        <w:t>九、一般公共预算财政拨款项目支出决算表</w:t>
      </w:r>
    </w:p>
    <w:p>
      <w:pPr>
        <w:pStyle w:val="15"/>
        <w:adjustRightInd w:val="0"/>
        <w:snapToGrid w:val="0"/>
        <w:spacing w:line="440" w:lineRule="exact"/>
        <w:ind w:left="420"/>
        <w:jc w:val="left"/>
        <w:rPr>
          <w:rFonts w:ascii="宋体" w:cs="宋体"/>
          <w:sz w:val="24"/>
        </w:rPr>
      </w:pPr>
      <w:r>
        <w:rPr>
          <w:rFonts w:hint="eastAsia" w:ascii="宋体" w:cs="宋体"/>
          <w:sz w:val="24"/>
        </w:rPr>
        <w:t>十、一般公共预算财政拨款“三公”经费支出决算表</w:t>
      </w:r>
    </w:p>
    <w:p>
      <w:pPr>
        <w:pStyle w:val="15"/>
        <w:adjustRightInd w:val="0"/>
        <w:snapToGrid w:val="0"/>
        <w:spacing w:line="440" w:lineRule="exact"/>
        <w:ind w:left="420"/>
        <w:jc w:val="left"/>
        <w:rPr>
          <w:rFonts w:ascii="宋体" w:cs="宋体"/>
          <w:sz w:val="24"/>
        </w:rPr>
      </w:pPr>
      <w:r>
        <w:rPr>
          <w:rFonts w:hint="eastAsia" w:ascii="宋体" w:cs="宋体"/>
          <w:sz w:val="24"/>
        </w:rPr>
        <w:t>十一、政府性基金预算财政拨款收入支出决算表</w:t>
      </w:r>
    </w:p>
    <w:p>
      <w:pPr>
        <w:pStyle w:val="15"/>
        <w:adjustRightInd w:val="0"/>
        <w:snapToGrid w:val="0"/>
        <w:spacing w:line="440" w:lineRule="exact"/>
        <w:ind w:left="420"/>
        <w:jc w:val="left"/>
        <w:rPr>
          <w:rFonts w:ascii="宋体" w:cs="宋体"/>
          <w:sz w:val="24"/>
        </w:rPr>
      </w:pPr>
      <w:r>
        <w:rPr>
          <w:rFonts w:hint="eastAsia" w:ascii="宋体" w:cs="宋体"/>
          <w:sz w:val="24"/>
        </w:rPr>
        <w:t>十二、政府性基金预算财政拨款“三公”经费支出决算表</w:t>
      </w:r>
    </w:p>
    <w:p>
      <w:pPr>
        <w:pStyle w:val="15"/>
        <w:adjustRightInd w:val="0"/>
        <w:snapToGrid w:val="0"/>
        <w:spacing w:line="440" w:lineRule="exact"/>
        <w:ind w:left="420"/>
        <w:jc w:val="left"/>
        <w:rPr>
          <w:rFonts w:ascii="宋体" w:cs="宋体"/>
          <w:sz w:val="24"/>
        </w:rPr>
      </w:pPr>
      <w:r>
        <w:rPr>
          <w:rFonts w:hint="eastAsia" w:ascii="宋体" w:cs="宋体"/>
          <w:sz w:val="24"/>
        </w:rPr>
        <w:t>十三、国有资本经营预算财政拨款收入支出决算表</w:t>
      </w:r>
    </w:p>
    <w:p>
      <w:pPr>
        <w:pStyle w:val="15"/>
        <w:adjustRightInd w:val="0"/>
        <w:snapToGrid w:val="0"/>
        <w:spacing w:line="440" w:lineRule="exact"/>
        <w:ind w:left="420"/>
        <w:jc w:val="left"/>
        <w:rPr>
          <w:rFonts w:ascii="宋体" w:cs="宋体"/>
          <w:sz w:val="24"/>
        </w:rPr>
      </w:pPr>
      <w:r>
        <w:rPr>
          <w:rFonts w:hint="eastAsia" w:ascii="宋体" w:cs="宋体"/>
          <w:sz w:val="24"/>
        </w:rPr>
        <w:t>十四、国有资本经营预算财政拨款支出决算表</w:t>
      </w:r>
    </w:p>
    <w:p>
      <w:pPr>
        <w:widowControl/>
        <w:adjustRightInd w:val="0"/>
        <w:snapToGrid w:val="0"/>
        <w:spacing w:line="440" w:lineRule="exact"/>
        <w:ind w:firstLine="1320" w:firstLineChars="550"/>
        <w:jc w:val="left"/>
        <w:rPr>
          <w:rFonts w:ascii="仿宋" w:eastAsia="仿宋"/>
          <w:sz w:val="24"/>
        </w:rPr>
      </w:pPr>
      <w:r>
        <w:rPr>
          <w:rFonts w:ascii="仿宋" w:eastAsia="仿宋"/>
          <w:sz w:val="24"/>
        </w:rPr>
        <w:t>(注：</w:t>
      </w:r>
      <w:r>
        <w:rPr>
          <w:rFonts w:hint="eastAsia" w:ascii="仿宋" w:eastAsia="仿宋"/>
          <w:sz w:val="24"/>
        </w:rPr>
        <w:t>请部门根据实际注明页码</w:t>
      </w:r>
      <w:r>
        <w:rPr>
          <w:rFonts w:ascii="仿宋" w:eastAsia="仿宋"/>
          <w:sz w:val="24"/>
        </w:rPr>
        <w:t>)</w:t>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7"/>
        <w:pageBreakBefore w:val="0"/>
        <w:kinsoku/>
        <w:wordWrap/>
        <w:overflowPunct/>
        <w:topLinePunct w:val="0"/>
        <w:autoSpaceDE/>
        <w:autoSpaceDN/>
        <w:bidi w:val="0"/>
        <w:adjustRightInd w:val="0"/>
        <w:snapToGrid w:val="0"/>
        <w:spacing w:before="0" w:beforeLines="0" w:line="560" w:lineRule="exact"/>
        <w:ind w:firstLine="624" w:firstLineChars="208"/>
        <w:textAlignment w:val="auto"/>
        <w:outlineLvl w:val="2"/>
        <w:rPr>
          <w:rStyle w:val="23"/>
          <w:rFonts w:ascii="黑体" w:eastAsia="黑体"/>
          <w:b/>
          <w:bCs w:val="0"/>
        </w:rPr>
      </w:pPr>
      <w:r>
        <w:rPr>
          <w:rFonts w:hint="eastAsia" w:ascii="黑体" w:eastAsia="黑体"/>
          <w:b w:val="0"/>
        </w:rPr>
        <w:t xml:space="preserve">第一部分 </w:t>
      </w:r>
      <w:r>
        <w:rPr>
          <w:rStyle w:val="23"/>
          <w:rFonts w:hint="eastAsia" w:ascii="黑体" w:eastAsia="黑体"/>
          <w:b w:val="0"/>
          <w:bCs w:val="0"/>
        </w:rPr>
        <w:t>部门概况</w:t>
      </w:r>
      <w:bookmarkEnd w:id="12"/>
      <w:bookmarkEnd w:id="13"/>
    </w:p>
    <w:p>
      <w:pPr>
        <w:pageBreakBefore w:val="0"/>
        <w:widowControl/>
        <w:kinsoku/>
        <w:wordWrap/>
        <w:overflowPunct/>
        <w:topLinePunct w:val="0"/>
        <w:autoSpaceDE/>
        <w:autoSpaceDN/>
        <w:bidi w:val="0"/>
        <w:jc w:val="left"/>
        <w:textAlignment w:val="auto"/>
        <w:rPr>
          <w:rFonts w:ascii="黑体" w:eastAsia="黑体"/>
          <w:sz w:val="32"/>
          <w:szCs w:val="32"/>
        </w:rPr>
      </w:pPr>
    </w:p>
    <w:p>
      <w:pPr>
        <w:pStyle w:val="5"/>
        <w:pageBreakBefore w:val="0"/>
        <w:kinsoku/>
        <w:wordWrap/>
        <w:overflowPunct/>
        <w:topLinePunct w:val="0"/>
        <w:autoSpaceDE/>
        <w:autoSpaceDN/>
        <w:bidi w:val="0"/>
        <w:spacing w:before="0" w:after="0" w:line="560" w:lineRule="exact"/>
        <w:textAlignment w:val="auto"/>
        <w:rPr>
          <w:rStyle w:val="24"/>
          <w:rFonts w:ascii="仿宋" w:eastAsia="仿宋"/>
          <w:b w:val="0"/>
          <w:bCs w:val="0"/>
        </w:rPr>
      </w:pPr>
      <w:bookmarkStart w:id="14" w:name="_Toc15377197"/>
      <w:bookmarkStart w:id="15" w:name="_Toc15396600"/>
      <w:r>
        <w:rPr>
          <w:rFonts w:hint="eastAsia" w:ascii="黑体" w:eastAsia="黑体"/>
          <w:b w:val="0"/>
        </w:rPr>
        <w:t>一、基</w:t>
      </w:r>
      <w:r>
        <w:rPr>
          <w:rStyle w:val="24"/>
          <w:rFonts w:hint="eastAsia" w:ascii="黑体" w:eastAsia="黑体"/>
          <w:b w:val="0"/>
          <w:bCs w:val="0"/>
        </w:rPr>
        <w:t>本职能及主要工作</w:t>
      </w:r>
      <w:bookmarkEnd w:id="14"/>
      <w:bookmarkEnd w:id="15"/>
    </w:p>
    <w:p>
      <w:pPr>
        <w:pStyle w:val="7"/>
        <w:pageBreakBefore w:val="0"/>
        <w:kinsoku/>
        <w:wordWrap/>
        <w:overflowPunct/>
        <w:topLinePunct w:val="0"/>
        <w:autoSpaceDE/>
        <w:autoSpaceDN/>
        <w:bidi w:val="0"/>
        <w:adjustRightInd w:val="0"/>
        <w:snapToGrid w:val="0"/>
        <w:spacing w:before="0" w:beforeLines="0" w:line="560" w:lineRule="exact"/>
        <w:ind w:firstLine="665" w:firstLineChars="208"/>
        <w:textAlignment w:val="auto"/>
        <w:outlineLvl w:val="2"/>
        <w:rPr>
          <w:rFonts w:hint="eastAsia" w:ascii="仿宋_GB2312" w:eastAsia="仿宋_GB2312" w:hAnsiTheme="minorHAnsi" w:cstheme="minorBidi"/>
          <w:kern w:val="2"/>
          <w:sz w:val="32"/>
          <w:szCs w:val="32"/>
          <w:lang w:val="en-US" w:eastAsia="zh-CN" w:bidi="ar-SA"/>
        </w:rPr>
      </w:pPr>
      <w:bookmarkStart w:id="16" w:name="_Toc15378445"/>
      <w:bookmarkStart w:id="17" w:name="_Toc15377198"/>
      <w:r>
        <w:rPr>
          <w:rFonts w:hint="eastAsia" w:ascii="楷体_GB2312" w:hAnsi="Times New Roman" w:eastAsia="楷体_GB2312" w:cs="Times New Roman"/>
          <w:color w:val="000000"/>
          <w:sz w:val="32"/>
          <w:szCs w:val="32"/>
          <w:lang w:val="en-US" w:eastAsia="zh-CN"/>
        </w:rPr>
        <w:t>（一）主要职能。</w:t>
      </w:r>
      <w:bookmarkEnd w:id="16"/>
      <w:bookmarkEnd w:id="17"/>
      <w:bookmarkStart w:id="18" w:name="_Toc15377199"/>
      <w:bookmarkStart w:id="19" w:name="_Toc15378446"/>
    </w:p>
    <w:p>
      <w:pPr>
        <w:pStyle w:val="16"/>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firstLine="672"/>
        <w:jc w:val="both"/>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 阿坝州档案馆履行州直机关、团体、事业单位、州属国有企业及其下属单位档案保管、使用职能，对县市档案馆业务进行指导。</w:t>
      </w:r>
    </w:p>
    <w:p>
      <w:pPr>
        <w:pStyle w:val="7"/>
        <w:pageBreakBefore w:val="0"/>
        <w:kinsoku/>
        <w:wordWrap/>
        <w:overflowPunct/>
        <w:topLinePunct w:val="0"/>
        <w:autoSpaceDE/>
        <w:autoSpaceDN/>
        <w:bidi w:val="0"/>
        <w:adjustRightInd w:val="0"/>
        <w:snapToGrid w:val="0"/>
        <w:spacing w:before="0" w:beforeLines="0" w:line="560" w:lineRule="exact"/>
        <w:ind w:firstLine="665" w:firstLineChars="208"/>
        <w:textAlignment w:val="auto"/>
        <w:outlineLvl w:val="2"/>
        <w:rPr>
          <w:rFonts w:hint="eastAsia" w:ascii="楷体_GB2312" w:hAnsi="Times New Roman" w:eastAsia="楷体_GB2312" w:cs="Times New Roman"/>
          <w:color w:val="000000"/>
          <w:sz w:val="32"/>
          <w:szCs w:val="32"/>
          <w:lang w:val="en-US" w:eastAsia="zh-CN"/>
        </w:rPr>
      </w:pPr>
      <w:r>
        <w:rPr>
          <w:rFonts w:hint="eastAsia" w:ascii="楷体_GB2312" w:hAnsi="Times New Roman" w:eastAsia="楷体_GB2312" w:cs="Times New Roman"/>
          <w:color w:val="000000"/>
          <w:sz w:val="32"/>
          <w:szCs w:val="32"/>
          <w:lang w:val="en-US" w:eastAsia="zh-CN"/>
        </w:rPr>
        <w:t>（二）2021年重点工作完成情况。</w:t>
      </w:r>
      <w:bookmarkEnd w:id="18"/>
      <w:bookmarkEnd w:id="19"/>
    </w:p>
    <w:p>
      <w:pPr>
        <w:pStyle w:val="1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atLeast"/>
        <w:ind w:right="0" w:rightChars="0" w:firstLine="640" w:firstLineChars="200"/>
        <w:jc w:val="both"/>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大力开展档案接收征集工作。根据项目运行方案，细化任务、合理配置资源，建立项目控制管理机制，规避项目风险，确保了项目较好质量的完成。2021年征集到了反映阿坝州历史的部分图书、实物档案等，逐步丰富了馆藏，为研究阿坝州历史提供了宝贵材料，更好的效果将在今后历史的研究中展现，与项目预期成效一致。项目预算投资金额30万元，当年支出30万元，项目实施过程中严格按照项目预算科目及有关政策规定进行支付。</w:t>
      </w:r>
    </w:p>
    <w:p>
      <w:pPr>
        <w:pStyle w:val="1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atLeast"/>
        <w:ind w:right="0" w:rightChars="0" w:firstLine="640" w:firstLineChars="200"/>
        <w:jc w:val="both"/>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细致稳妥推进数字档案馆建设。阿坝藏族羌族自治州档案馆数字档案馆建设项目扫描了《同治〈理番厅志〉》（一套六册）高清电子文件399个，建立了全文数据库1个，质量标准较高，按照合同约定时间完成了数字化扫描和全文数字库建设．</w:t>
      </w:r>
      <w:r>
        <w:rPr>
          <w:rFonts w:hint="eastAsia" w:ascii="仿宋_GB2312" w:eastAsia="仿宋_GB2312" w:hAnsiTheme="minorHAnsi" w:cstheme="minorBidi"/>
          <w:kern w:val="2"/>
          <w:sz w:val="32"/>
          <w:szCs w:val="32"/>
          <w:lang w:val="zh-CN" w:eastAsia="zh-CN" w:bidi="ar-SA"/>
        </w:rPr>
        <w:t>项目的社会效益明显，对于研究清朝同治时期的理番县的地理位置、人文风俗和事件概览具有极大的参考作用。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3.深入推进国家重点档案抢救保护项目。对阿坝州档案馆藏重点档案《同治〈理番厅志〉》进行消毒、除尘、杀菌、清洁、修复、装帧、加固等古籍修复和数字化工作，包含原书衣叶、原护叶、原书芯叶；对阿坝州档案馆藏《同治〈理番厅志〉》开展影印出版，内文采用宣纸印刷，线装，封面题签，带布面函套。对古籍志书原件进行消毒、除尘、修裱水，对破损部分进行高仿复制，完成500册的翻印出版。</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atLeast"/>
        <w:ind w:left="0" w:firstLine="640" w:firstLineChars="200"/>
        <w:jc w:val="both"/>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4.有序推进爱国主义教育基地建设。“阿坝记忆——庆祝中国共产党成立100周年档案史料展”以历史为脉络，以档案为载体，分为“尘封档案，岁月印迹；红色基因，长征精神；峥嵘岁月，奋斗历程；净土阿坝，生态家园”四个展区。展示阿坝州悠久的历史文化，展示我州各族儿女在中国共产党领导下发生的翻天覆地的变化和举世瞩目的成就，提升档案馆的综合接待能力</w:t>
      </w:r>
      <w:r>
        <w:rPr>
          <w:rFonts w:hint="default" w:ascii="仿宋_GB2312" w:eastAsia="仿宋_GB2312" w:hAnsiTheme="minorHAnsi" w:cstheme="minorBidi"/>
          <w:kern w:val="2"/>
          <w:sz w:val="32"/>
          <w:szCs w:val="32"/>
          <w:lang w:val="en" w:eastAsia="zh-CN" w:bidi="ar-SA"/>
        </w:rPr>
        <w:t>,</w:t>
      </w:r>
      <w:r>
        <w:rPr>
          <w:rFonts w:hint="eastAsia" w:ascii="仿宋_GB2312" w:eastAsia="仿宋_GB2312" w:hAnsiTheme="minorHAnsi" w:cstheme="minorBidi"/>
          <w:kern w:val="2"/>
          <w:sz w:val="32"/>
          <w:szCs w:val="32"/>
          <w:lang w:val="en-US" w:eastAsia="zh-CN" w:bidi="ar-SA"/>
        </w:rPr>
        <w:t>整个展览将从档案的视角让参观者亲身感受一场历经千年时光淬炼而成的档案盛宴！</w:t>
      </w:r>
      <w:r>
        <w:rPr>
          <w:rFonts w:hint="eastAsia" w:ascii="仿宋_GB2312" w:eastAsia="仿宋_GB2312" w:hAnsiTheme="minorHAnsi" w:cstheme="minorBidi"/>
          <w:kern w:val="2"/>
          <w:sz w:val="32"/>
          <w:szCs w:val="32"/>
          <w:lang w:val="en" w:eastAsia="zh-CN" w:bidi="ar-SA"/>
        </w:rPr>
        <w:t>为中国共产党建党</w:t>
      </w:r>
      <w:r>
        <w:rPr>
          <w:rFonts w:hint="eastAsia" w:ascii="仿宋_GB2312" w:eastAsia="仿宋_GB2312" w:hAnsiTheme="minorHAnsi" w:cstheme="minorBidi"/>
          <w:kern w:val="2"/>
          <w:sz w:val="32"/>
          <w:szCs w:val="32"/>
          <w:lang w:val="en-US" w:eastAsia="zh-CN" w:bidi="ar-SA"/>
        </w:rPr>
        <w:t>100周年献上一份厚礼！</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atLeast"/>
        <w:ind w:left="0" w:firstLine="640" w:firstLineChars="200"/>
        <w:jc w:val="both"/>
        <w:textAlignment w:val="auto"/>
        <w:rPr>
          <w:rFonts w:hint="default"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5.全力保障档案绝对安全。深入开展档案安全风险隐患排查及整治工作，加强档案网站信息、数字资源等信息的安全防护，档案实体及信息安全保障得到进一步强化。</w:t>
      </w:r>
    </w:p>
    <w:p>
      <w:pPr>
        <w:pStyle w:val="5"/>
        <w:pageBreakBefore w:val="0"/>
        <w:kinsoku/>
        <w:wordWrap/>
        <w:overflowPunct/>
        <w:topLinePunct w:val="0"/>
        <w:autoSpaceDE/>
        <w:autoSpaceDN/>
        <w:bidi w:val="0"/>
        <w:spacing w:before="0" w:after="0"/>
        <w:ind w:firstLine="642" w:firstLineChars="200"/>
        <w:textAlignment w:val="auto"/>
        <w:rPr>
          <w:rFonts w:ascii="仿宋" w:hAnsi="仿宋" w:eastAsia="仿宋" w:cs="仿宋"/>
          <w:color w:val="333333"/>
          <w:sz w:val="32"/>
          <w:szCs w:val="32"/>
          <w:shd w:val="clear" w:fill="FFFFFF"/>
        </w:rPr>
      </w:pPr>
      <w:bookmarkStart w:id="20" w:name="_Toc15396601"/>
      <w:bookmarkStart w:id="21" w:name="_Toc15377200"/>
      <w:r>
        <w:rPr>
          <w:rFonts w:hint="eastAsia" w:ascii="仿宋_GB2312" w:eastAsia="仿宋_GB2312" w:hAnsiTheme="minorHAnsi" w:cstheme="minorBidi"/>
          <w:kern w:val="2"/>
          <w:sz w:val="32"/>
          <w:szCs w:val="32"/>
          <w:lang w:val="en-US" w:eastAsia="zh-CN" w:bidi="ar-SA"/>
        </w:rPr>
        <w:t>二、机构设置</w:t>
      </w:r>
      <w:bookmarkEnd w:id="20"/>
      <w:bookmarkEnd w:id="21"/>
    </w:p>
    <w:p>
      <w:pPr>
        <w:pStyle w:val="16"/>
        <w:keepNext w:val="0"/>
        <w:keepLines w:val="0"/>
        <w:pageBreakBefore w:val="0"/>
        <w:widowControl/>
        <w:suppressLineNumbers w:val="0"/>
        <w:kinsoku/>
        <w:wordWrap/>
        <w:overflowPunct/>
        <w:topLinePunct w:val="0"/>
        <w:autoSpaceDE/>
        <w:autoSpaceDN/>
        <w:bidi w:val="0"/>
        <w:spacing w:before="0" w:beforeAutospacing="0" w:after="0" w:afterAutospacing="0" w:line="21" w:lineRule="atLeast"/>
        <w:ind w:right="0" w:firstLine="640" w:firstLineChars="200"/>
        <w:jc w:val="both"/>
        <w:textAlignment w:val="auto"/>
        <w:rPr>
          <w:rFonts w:hint="eastAsia" w:ascii="仿宋" w:hAnsi="仿宋" w:eastAsia="仿宋" w:cs="仿宋"/>
          <w:color w:val="333333"/>
          <w:sz w:val="32"/>
          <w:szCs w:val="32"/>
          <w:shd w:val="clear" w:fill="FFFFFF"/>
        </w:rPr>
      </w:pPr>
      <w:r>
        <w:rPr>
          <w:rFonts w:hint="eastAsia" w:ascii="仿宋_GB2312" w:eastAsia="仿宋_GB2312" w:hAnsiTheme="minorHAnsi" w:cstheme="minorBidi"/>
          <w:kern w:val="2"/>
          <w:sz w:val="32"/>
          <w:szCs w:val="32"/>
          <w:lang w:val="en-US" w:eastAsia="zh-CN" w:bidi="ar-SA"/>
        </w:rPr>
        <w:t>阿坝州档案馆是一级预算单位，无下属的二级预算单位。按照阿坝州委机构编制关于《调整阿坝州档案馆机构编制事项的批复》（阿编发〔2019〕85号）文件精神，将原州档案局（馆）承担的起草全州档案工作地方性法规和规章草案，完善档案管理政策和规章制度，监督检查档案法律法规的贯彻执行，依法查处档案违法行为等行政职责划入州委办公室内。调整后的州档案馆为州委直属参公事业单位，由州委办代管。馆设办公室、档案接收征集科、档案信息技术科、档案宣传教育科、档案安全保卫科、档案保管利用科、档案开发编辑科7个内设机构。</w:t>
      </w:r>
    </w:p>
    <w:p>
      <w:pPr>
        <w:pStyle w:val="16"/>
        <w:keepNext w:val="0"/>
        <w:keepLines w:val="0"/>
        <w:pageBreakBefore w:val="0"/>
        <w:widowControl/>
        <w:suppressLineNumbers w:val="0"/>
        <w:kinsoku/>
        <w:wordWrap/>
        <w:overflowPunct/>
        <w:topLinePunct w:val="0"/>
        <w:autoSpaceDE/>
        <w:autoSpaceDN/>
        <w:bidi w:val="0"/>
        <w:spacing w:before="0" w:beforeAutospacing="0" w:after="0" w:afterAutospacing="0" w:line="21" w:lineRule="atLeast"/>
        <w:ind w:right="0" w:firstLine="640" w:firstLineChars="200"/>
        <w:jc w:val="both"/>
        <w:textAlignment w:val="auto"/>
        <w:rPr>
          <w:rFonts w:hint="eastAsia" w:ascii="仿宋" w:hAnsi="仿宋" w:eastAsia="仿宋" w:cs="仿宋"/>
          <w:color w:val="333333"/>
          <w:sz w:val="32"/>
          <w:szCs w:val="32"/>
          <w:shd w:val="clear" w:fill="FFFFFF"/>
        </w:rPr>
      </w:pPr>
    </w:p>
    <w:p>
      <w:pPr>
        <w:pStyle w:val="4"/>
        <w:pageBreakBefore w:val="0"/>
        <w:kinsoku/>
        <w:wordWrap/>
        <w:overflowPunct/>
        <w:topLinePunct w:val="0"/>
        <w:autoSpaceDE/>
        <w:autoSpaceDN/>
        <w:bidi w:val="0"/>
        <w:spacing w:before="0" w:after="0"/>
        <w:ind w:right="440" w:firstLine="440" w:firstLineChars="100"/>
        <w:jc w:val="center"/>
        <w:textAlignment w:val="auto"/>
        <w:rPr>
          <w:rStyle w:val="23"/>
          <w:rFonts w:ascii="黑体" w:eastAsia="黑体"/>
          <w:b w:val="0"/>
          <w:bCs/>
        </w:rPr>
      </w:pPr>
      <w:bookmarkStart w:id="22" w:name="_Toc15396602"/>
      <w:bookmarkStart w:id="23" w:name="_Toc15377204"/>
      <w:r>
        <w:rPr>
          <w:rFonts w:hint="eastAsia" w:ascii="黑体" w:eastAsia="黑体"/>
          <w:b w:val="0"/>
        </w:rPr>
        <w:t>第二部分 2021年度</w:t>
      </w:r>
      <w:r>
        <w:rPr>
          <w:rStyle w:val="23"/>
          <w:rFonts w:hint="eastAsia" w:ascii="黑体" w:eastAsia="黑体"/>
          <w:b w:val="0"/>
          <w:bCs/>
        </w:rPr>
        <w:t>部门决算情况说明</w:t>
      </w:r>
      <w:bookmarkEnd w:id="22"/>
      <w:bookmarkEnd w:id="23"/>
    </w:p>
    <w:p>
      <w:pPr>
        <w:pStyle w:val="29"/>
        <w:keepNext w:val="0"/>
        <w:keepLines w:val="0"/>
        <w:pageBreakBefore w:val="0"/>
        <w:widowControl w:val="0"/>
        <w:numPr>
          <w:ilvl w:val="0"/>
          <w:numId w:val="0"/>
        </w:numPr>
        <w:kinsoku/>
        <w:wordWrap/>
        <w:overflowPunct/>
        <w:topLinePunct w:val="0"/>
        <w:autoSpaceDE/>
        <w:autoSpaceDN/>
        <w:bidi w:val="0"/>
        <w:snapToGrid/>
        <w:spacing w:line="600" w:lineRule="exact"/>
        <w:ind w:firstLine="640" w:firstLineChars="200"/>
        <w:jc w:val="center"/>
        <w:textAlignment w:val="auto"/>
        <w:outlineLvl w:val="1"/>
        <w:rPr>
          <w:rFonts w:hint="eastAsia" w:ascii="黑体" w:eastAsia="黑体"/>
          <w:sz w:val="32"/>
          <w:szCs w:val="32"/>
          <w:lang w:val="en-US" w:eastAsia="zh-CN"/>
        </w:rPr>
      </w:pPr>
      <w:bookmarkStart w:id="24" w:name="_Toc15396603"/>
      <w:bookmarkStart w:id="25" w:name="_Toc15377205"/>
    </w:p>
    <w:p>
      <w:pPr>
        <w:pStyle w:val="29"/>
        <w:keepNext w:val="0"/>
        <w:keepLines w:val="0"/>
        <w:pageBreakBefore w:val="0"/>
        <w:widowControl w:val="0"/>
        <w:numPr>
          <w:ilvl w:val="0"/>
          <w:numId w:val="0"/>
        </w:numPr>
        <w:kinsoku/>
        <w:wordWrap/>
        <w:overflowPunct/>
        <w:topLinePunct w:val="0"/>
        <w:autoSpaceDE/>
        <w:autoSpaceDN/>
        <w:bidi w:val="0"/>
        <w:snapToGrid/>
        <w:spacing w:line="600" w:lineRule="exact"/>
        <w:ind w:firstLine="640" w:firstLineChars="200"/>
        <w:textAlignment w:val="auto"/>
        <w:outlineLvl w:val="1"/>
        <w:rPr>
          <w:rStyle w:val="24"/>
          <w:rFonts w:ascii="黑体" w:eastAsia="黑体"/>
          <w:b w:val="0"/>
        </w:rPr>
      </w:pPr>
      <w:r>
        <w:rPr>
          <w:rFonts w:hint="eastAsia" w:ascii="黑体" w:eastAsia="黑体"/>
          <w:sz w:val="32"/>
          <w:szCs w:val="32"/>
          <w:lang w:val="en-US" w:eastAsia="zh-CN"/>
        </w:rPr>
        <w:t>一、</w:t>
      </w:r>
      <w:r>
        <w:rPr>
          <w:rFonts w:hint="eastAsia" w:ascii="黑体" w:eastAsia="黑体"/>
          <w:sz w:val="32"/>
          <w:szCs w:val="32"/>
        </w:rPr>
        <w:t>收</w:t>
      </w:r>
      <w:r>
        <w:rPr>
          <w:rStyle w:val="24"/>
          <w:rFonts w:hint="eastAsia" w:ascii="黑体" w:eastAsia="黑体"/>
          <w:b w:val="0"/>
        </w:rPr>
        <w:t>入支出决算总体情况说明</w:t>
      </w:r>
      <w:bookmarkEnd w:id="24"/>
      <w:bookmarkEnd w:id="25"/>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2021年度收入900.78万元。与2020年相比，收入总计增加208.6万元，增长30.14%。主要变动原因是本年度我单位新购一辆公务用车预算数60万元、本单位举办“庆祝中国共产党成立100周年档案史料展”项目预算经费19万元、单位采购档案库房空调项目预算经费20万元，同时单位新增两名职工且今年补发了一笔2020年目标考核经费；其他收入相比上年度增加5.49万元。</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2021年度支出为1,010.01万元。与2020年相比减少了294.7万元，降低22.59%。主要变动原因是上年度我单位浙江援建爱教基地项目支出408.03万元，新建档案馆中央预算资金项目支出89万，本年度浙江援建爱教基地项目支出19.56万元，新建档案馆中央预算资金项目支出95.16万元，同时我单位今年购买公务用车支出59.6万元、档案库房空调采购支出19.8万元、举办“档案史料展”支出18.9万元。</w:t>
      </w:r>
    </w:p>
    <w:p>
      <w:pPr>
        <w:pStyle w:val="2"/>
        <w:rPr>
          <w:rFonts w:hint="eastAsia"/>
          <w:lang w:val="en-US" w:eastAsia="zh-CN"/>
        </w:rPr>
      </w:pPr>
      <w:r>
        <w:rPr>
          <w:rFonts w:hint="eastAsia"/>
          <w:lang w:val="en-US" w:eastAsia="zh-CN"/>
        </w:rPr>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（图1：收、支决算总计变动情况图）（柱状图）</w:t>
      </w:r>
    </w:p>
    <w:p>
      <w:pPr>
        <w:keepNext w:val="0"/>
        <w:keepLines w:val="0"/>
        <w:pageBreakBefore w:val="0"/>
        <w:widowControl w:val="0"/>
        <w:kinsoku/>
        <w:wordWrap/>
        <w:overflowPunct/>
        <w:topLinePunct w:val="0"/>
        <w:autoSpaceDE/>
        <w:autoSpaceDN/>
        <w:bidi w:val="0"/>
        <w:snapToGrid/>
        <w:spacing w:line="600" w:lineRule="exact"/>
        <w:ind w:firstLine="640" w:firstLineChars="200"/>
        <w:jc w:val="left"/>
        <w:textAlignment w:val="auto"/>
        <w:rPr>
          <w:rFonts w:ascii="仿宋_GB2312" w:eastAsia="仿宋_GB2312"/>
          <w:sz w:val="32"/>
          <w:szCs w:val="32"/>
        </w:rPr>
      </w:pPr>
    </w:p>
    <w:p>
      <w:pPr>
        <w:pStyle w:val="29"/>
        <w:keepNext w:val="0"/>
        <w:keepLines w:val="0"/>
        <w:pageBreakBefore w:val="0"/>
        <w:widowControl w:val="0"/>
        <w:numPr>
          <w:ilvl w:val="0"/>
          <w:numId w:val="2"/>
        </w:numPr>
        <w:kinsoku/>
        <w:wordWrap/>
        <w:overflowPunct/>
        <w:topLinePunct w:val="0"/>
        <w:autoSpaceDE/>
        <w:autoSpaceDN/>
        <w:bidi w:val="0"/>
        <w:snapToGrid/>
        <w:spacing w:line="600" w:lineRule="exact"/>
        <w:ind w:firstLine="640" w:firstLineChars="200"/>
        <w:textAlignment w:val="auto"/>
        <w:outlineLvl w:val="1"/>
        <w:rPr>
          <w:rStyle w:val="24"/>
          <w:rFonts w:hint="eastAsia" w:ascii="黑体" w:eastAsia="黑体"/>
          <w:b w:val="0"/>
        </w:rPr>
      </w:pPr>
      <w:bookmarkStart w:id="26" w:name="_Toc15377206"/>
      <w:bookmarkStart w:id="27" w:name="_Toc15396604"/>
      <w:r>
        <w:rPr>
          <w:rFonts w:hint="eastAsia" w:ascii="黑体" w:eastAsia="黑体"/>
          <w:sz w:val="32"/>
          <w:szCs w:val="32"/>
        </w:rPr>
        <w:t>收</w:t>
      </w:r>
      <w:r>
        <w:rPr>
          <w:rStyle w:val="24"/>
          <w:rFonts w:hint="eastAsia" w:ascii="黑体" w:eastAsia="黑体"/>
          <w:b w:val="0"/>
        </w:rPr>
        <w:t>入决算情况说明</w:t>
      </w:r>
      <w:bookmarkEnd w:id="26"/>
      <w:bookmarkEnd w:id="27"/>
    </w:p>
    <w:p>
      <w:pPr>
        <w:pStyle w:val="29"/>
        <w:keepNext w:val="0"/>
        <w:keepLines w:val="0"/>
        <w:pageBreakBefore w:val="0"/>
        <w:widowControl w:val="0"/>
        <w:numPr>
          <w:ilvl w:val="0"/>
          <w:numId w:val="0"/>
        </w:numPr>
        <w:kinsoku/>
        <w:wordWrap/>
        <w:overflowPunct/>
        <w:topLinePunct w:val="0"/>
        <w:autoSpaceDE/>
        <w:autoSpaceDN/>
        <w:bidi w:val="0"/>
        <w:snapToGrid/>
        <w:spacing w:line="600" w:lineRule="exact"/>
        <w:ind w:firstLine="640" w:firstLineChars="200"/>
        <w:textAlignment w:val="auto"/>
        <w:outlineLvl w:val="1"/>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本单位本年度总收入为900.78万元。其中：一般公共预算财政拨款收入为895.29万元，占比99.39%；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5.49万元，占比0.61%。</w:t>
      </w:r>
    </w:p>
    <w:p>
      <w:pPr>
        <w:pStyle w:val="16"/>
        <w:shd w:val="clear" w:color="auto" w:fill="FFFFFF"/>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drawing>
          <wp:inline distT="0" distB="0" distL="0" distR="0">
            <wp:extent cx="5274945" cy="3077210"/>
            <wp:effectExtent l="4445" t="4445" r="16510" b="2349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ascii="仿宋" w:eastAsia="仿宋"/>
          <w:sz w:val="32"/>
          <w:szCs w:val="32"/>
        </w:rPr>
      </w:pPr>
      <w:r>
        <w:rPr>
          <w:rFonts w:hint="eastAsia" w:ascii="仿宋" w:eastAsia="仿宋"/>
          <w:sz w:val="32"/>
          <w:szCs w:val="32"/>
        </w:rPr>
        <w:t>（图2：收入决算结构图）（饼状图）</w:t>
      </w:r>
    </w:p>
    <w:p>
      <w:pPr>
        <w:pStyle w:val="29"/>
        <w:keepNext w:val="0"/>
        <w:keepLines w:val="0"/>
        <w:pageBreakBefore w:val="0"/>
        <w:widowControl w:val="0"/>
        <w:numPr>
          <w:ilvl w:val="0"/>
          <w:numId w:val="0"/>
        </w:numPr>
        <w:kinsoku/>
        <w:wordWrap/>
        <w:overflowPunct/>
        <w:topLinePunct w:val="0"/>
        <w:autoSpaceDE/>
        <w:autoSpaceDN/>
        <w:bidi w:val="0"/>
        <w:snapToGrid/>
        <w:spacing w:line="600" w:lineRule="exact"/>
        <w:ind w:firstLine="640" w:firstLineChars="200"/>
        <w:textAlignment w:val="auto"/>
        <w:outlineLvl w:val="1"/>
        <w:rPr>
          <w:rStyle w:val="24"/>
          <w:rFonts w:ascii="黑体" w:eastAsia="黑体"/>
          <w:b w:val="0"/>
        </w:rPr>
      </w:pPr>
      <w:bookmarkStart w:id="28" w:name="_Toc15377207"/>
      <w:bookmarkStart w:id="29" w:name="_Toc15396605"/>
      <w:r>
        <w:rPr>
          <w:rFonts w:hint="eastAsia" w:ascii="黑体" w:eastAsia="黑体"/>
          <w:sz w:val="32"/>
          <w:szCs w:val="32"/>
          <w:lang w:val="en-US" w:eastAsia="zh-CN"/>
        </w:rPr>
        <w:t>三、</w:t>
      </w:r>
      <w:r>
        <w:rPr>
          <w:rFonts w:hint="eastAsia" w:ascii="黑体" w:eastAsia="黑体"/>
          <w:sz w:val="32"/>
          <w:szCs w:val="32"/>
        </w:rPr>
        <w:t>支</w:t>
      </w:r>
      <w:r>
        <w:rPr>
          <w:rStyle w:val="24"/>
          <w:rFonts w:hint="eastAsia" w:ascii="黑体" w:eastAsia="黑体"/>
          <w:b w:val="0"/>
        </w:rPr>
        <w:t>出决算情况说明</w:t>
      </w:r>
      <w:bookmarkEnd w:id="28"/>
      <w:bookmarkEnd w:id="29"/>
    </w:p>
    <w:p>
      <w:pPr>
        <w:spacing w:line="600" w:lineRule="exact"/>
        <w:ind w:firstLine="640" w:firstLineChars="200"/>
        <w:rPr>
          <w:rFonts w:ascii="仿宋" w:eastAsia="仿宋"/>
          <w:sz w:val="32"/>
          <w:szCs w:val="32"/>
          <w:shd w:val="pct10" w:color="auto" w:fill="FFFFFF"/>
        </w:rPr>
      </w:pPr>
      <w:r>
        <w:rPr>
          <w:rFonts w:hint="eastAsia" w:ascii="仿宋_GB2312" w:eastAsia="仿宋_GB2312" w:hAnsiTheme="minorHAnsi" w:cstheme="minorBidi"/>
          <w:kern w:val="2"/>
          <w:sz w:val="32"/>
          <w:szCs w:val="32"/>
          <w:lang w:val="en-US" w:eastAsia="zh-CN" w:bidi="ar-SA"/>
        </w:rPr>
        <w:t>本年度总支出为1,010.01万元。</w:t>
      </w:r>
      <w:r>
        <w:rPr>
          <w:rFonts w:hint="eastAsia" w:ascii="仿宋_GB2312" w:eastAsia="仿宋_GB2312"/>
          <w:sz w:val="32"/>
          <w:szCs w:val="32"/>
        </w:rPr>
        <w:t>其中：基本支出</w:t>
      </w:r>
      <w:r>
        <w:rPr>
          <w:rFonts w:hint="eastAsia" w:ascii="仿宋_GB2312" w:eastAsia="仿宋_GB2312"/>
          <w:sz w:val="32"/>
          <w:szCs w:val="32"/>
          <w:lang w:val="en-US" w:eastAsia="zh-CN"/>
        </w:rPr>
        <w:t>751.73</w:t>
      </w:r>
      <w:r>
        <w:rPr>
          <w:rFonts w:hint="eastAsia" w:ascii="仿宋_GB2312" w:eastAsia="仿宋_GB2312"/>
          <w:sz w:val="32"/>
          <w:szCs w:val="32"/>
        </w:rPr>
        <w:t>万元，占</w:t>
      </w:r>
      <w:r>
        <w:rPr>
          <w:rFonts w:hint="eastAsia" w:ascii="仿宋_GB2312" w:eastAsia="仿宋_GB2312"/>
          <w:sz w:val="32"/>
          <w:szCs w:val="32"/>
          <w:lang w:val="en-US" w:eastAsia="zh-CN"/>
        </w:rPr>
        <w:t>74.43</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258.28</w:t>
      </w:r>
      <w:r>
        <w:rPr>
          <w:rFonts w:hint="eastAsia" w:ascii="仿宋_GB2312" w:eastAsia="仿宋_GB2312"/>
          <w:sz w:val="32"/>
          <w:szCs w:val="32"/>
        </w:rPr>
        <w:t>万元，占</w:t>
      </w:r>
      <w:r>
        <w:rPr>
          <w:rFonts w:hint="eastAsia" w:ascii="仿宋_GB2312" w:eastAsia="仿宋_GB2312"/>
          <w:sz w:val="32"/>
          <w:szCs w:val="32"/>
          <w:lang w:val="en-US" w:eastAsia="zh-CN"/>
        </w:rPr>
        <w:t>25.57</w:t>
      </w:r>
      <w:r>
        <w:rPr>
          <w:rFonts w:ascii="仿宋_GB2312" w:eastAsia="仿宋_GB2312"/>
          <w:sz w:val="32"/>
          <w:szCs w:val="32"/>
        </w:rPr>
        <w:t>%</w:t>
      </w:r>
      <w:r>
        <w:rPr>
          <w:rFonts w:hint="eastAsia" w:ascii="仿宋_GB2312" w:eastAsia="仿宋_GB2312"/>
          <w:sz w:val="32"/>
          <w:szCs w:val="32"/>
        </w:rPr>
        <w:t>；上缴上级支出0万元，占0</w:t>
      </w:r>
      <w:r>
        <w:rPr>
          <w:rFonts w:ascii="仿宋_GB2312" w:eastAsia="仿宋_GB2312"/>
          <w:sz w:val="32"/>
          <w:szCs w:val="32"/>
        </w:rPr>
        <w:t>%</w:t>
      </w:r>
      <w:r>
        <w:rPr>
          <w:rFonts w:hint="eastAsia" w:ascii="仿宋_GB2312" w:eastAsia="仿宋_GB2312"/>
          <w:sz w:val="32"/>
          <w:szCs w:val="32"/>
        </w:rPr>
        <w:t>；经营支出0万元，占0</w:t>
      </w:r>
      <w:r>
        <w:rPr>
          <w:rFonts w:ascii="仿宋_GB2312" w:eastAsia="仿宋_GB2312"/>
          <w:sz w:val="32"/>
          <w:szCs w:val="32"/>
        </w:rPr>
        <w:t>%</w:t>
      </w:r>
      <w:r>
        <w:rPr>
          <w:rFonts w:hint="eastAsia" w:ascii="仿宋_GB2312" w:eastAsia="仿宋_GB2312"/>
          <w:sz w:val="32"/>
          <w:szCs w:val="32"/>
        </w:rPr>
        <w:t>；对附属单位补助支出0万元，占0</w:t>
      </w:r>
      <w:r>
        <w:rPr>
          <w:rFonts w:ascii="仿宋_GB2312" w:eastAsia="仿宋_GB2312"/>
          <w:sz w:val="32"/>
          <w:szCs w:val="32"/>
        </w:rPr>
        <w:t>%</w:t>
      </w:r>
      <w:r>
        <w:rPr>
          <w:rFonts w:hint="eastAsia" w:ascii="仿宋_GB2312" w:eastAsia="仿宋_GB2312"/>
          <w:sz w:val="32"/>
          <w:szCs w:val="32"/>
        </w:rPr>
        <w:t>。</w:t>
      </w:r>
      <w:r>
        <w:rPr>
          <w:rFonts w:hint="eastAsia" w:ascii="仿宋" w:eastAsia="仿宋"/>
          <w:b/>
          <w:sz w:val="32"/>
          <w:szCs w:val="32"/>
        </w:rPr>
        <w:t>（注：数据来源于财决</w:t>
      </w:r>
      <w:r>
        <w:rPr>
          <w:rFonts w:ascii="仿宋" w:eastAsia="仿宋"/>
          <w:b/>
          <w:sz w:val="32"/>
          <w:szCs w:val="32"/>
        </w:rPr>
        <w:t>04</w:t>
      </w:r>
      <w:r>
        <w:rPr>
          <w:rFonts w:hint="eastAsia" w:ascii="仿宋" w:eastAsia="仿宋"/>
          <w:b/>
          <w:sz w:val="32"/>
          <w:szCs w:val="32"/>
        </w:rPr>
        <w:t>表，仅罗列本部门涉及的支出。）</w:t>
      </w:r>
    </w:p>
    <w:p>
      <w:pPr>
        <w:pStyle w:val="3"/>
        <w:rPr>
          <w:rFonts w:hint="eastAsia" w:ascii="仿宋" w:eastAsia="仿宋"/>
          <w:sz w:val="32"/>
          <w:szCs w:val="32"/>
          <w:shd w:val="pct10" w:color="auto" w:fill="FFFFFF"/>
          <w:lang w:eastAsia="zh-CN"/>
        </w:rPr>
      </w:pPr>
      <w:r>
        <w:rPr>
          <w:rFonts w:hint="eastAsia" w:ascii="仿宋" w:eastAsia="仿宋"/>
          <w:sz w:val="32"/>
          <w:szCs w:val="32"/>
          <w:shd w:val="pct10" w:color="auto" w:fill="FFFFFF"/>
          <w:lang w:eastAsia="zh-CN"/>
        </w:rPr>
        <w:drawing>
          <wp:inline distT="0" distB="0" distL="114300" distR="114300">
            <wp:extent cx="5080000" cy="38100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outlineLvl w:val="1"/>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（图3：支出决算结构图）（饼状图）</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outlineLvl w:val="1"/>
        <w:rPr>
          <w:rStyle w:val="24"/>
          <w:rFonts w:hint="eastAsia" w:ascii="黑体" w:eastAsia="黑体"/>
          <w:b w:val="0"/>
          <w:lang w:val="en-US" w:eastAsia="zh-CN"/>
        </w:rPr>
      </w:pPr>
      <w:bookmarkStart w:id="30" w:name="_Toc15396606"/>
      <w:bookmarkStart w:id="31" w:name="_Toc15377208"/>
      <w:r>
        <w:rPr>
          <w:rStyle w:val="24"/>
          <w:rFonts w:hint="eastAsia" w:ascii="黑体" w:eastAsia="黑体"/>
          <w:b w:val="0"/>
          <w:lang w:val="en-US" w:eastAsia="zh-CN"/>
        </w:rPr>
        <w:t>四、财政拨款收入支出决算总体情况说明</w:t>
      </w:r>
      <w:bookmarkEnd w:id="30"/>
      <w:bookmarkEnd w:id="31"/>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outlineLvl w:val="1"/>
        <w:rPr>
          <w:rFonts w:hint="eastAsia" w:ascii="仿宋" w:hAnsi="仿宋" w:eastAsia="仿宋"/>
          <w:color w:val="000000"/>
          <w:sz w:val="32"/>
          <w:szCs w:val="32"/>
          <w:lang w:val="en-US" w:eastAsia="zh-CN"/>
        </w:rPr>
      </w:pPr>
      <w:r>
        <w:rPr>
          <w:rFonts w:hint="eastAsia" w:ascii="仿宋_GB2312" w:eastAsia="仿宋_GB2312" w:hAnsiTheme="minorHAnsi" w:cstheme="minorBidi"/>
          <w:kern w:val="2"/>
          <w:sz w:val="32"/>
          <w:szCs w:val="32"/>
          <w:lang w:val="en-US" w:eastAsia="zh-CN" w:bidi="ar-SA"/>
        </w:rPr>
        <w:t>本部门2021年财政拨款收入总计914.85万元，与2020年相比，财政拨款收入总计增加27.15万元，增加3.1 %。主要变动原因是本年度我单位新购一辆公务用车预算数60万元、本单位举办“庆祝中国共产党成立100周年档案史料展”项目预算经费19万元、单位采购档案库房空调项目预算经费20万元，同时我单位新增两名职工且补发了一笔2020年目标考核经费；其他收入相比上年度增长5.49万元，同时</w:t>
      </w:r>
      <w:r>
        <w:rPr>
          <w:rFonts w:hint="eastAsia" w:ascii="仿宋" w:hAnsi="仿宋" w:eastAsia="仿宋"/>
          <w:color w:val="000000"/>
          <w:sz w:val="32"/>
          <w:szCs w:val="32"/>
        </w:rPr>
        <w:t>年初结转和结余与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年相比减少</w:t>
      </w:r>
      <w:r>
        <w:rPr>
          <w:rFonts w:hint="eastAsia" w:ascii="仿宋" w:hAnsi="仿宋" w:eastAsia="仿宋"/>
          <w:color w:val="000000"/>
          <w:sz w:val="32"/>
          <w:szCs w:val="32"/>
          <w:lang w:val="en-US" w:eastAsia="zh-CN"/>
        </w:rPr>
        <w:t>175.96万元。</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outlineLvl w:val="1"/>
        <w:rPr>
          <w:rFonts w:hint="eastAsia" w:ascii="仿宋" w:eastAsia="仿宋"/>
          <w:sz w:val="32"/>
          <w:szCs w:val="32"/>
          <w:lang w:eastAsia="zh-CN"/>
        </w:rPr>
      </w:pPr>
      <w:r>
        <w:rPr>
          <w:rFonts w:hint="eastAsia" w:ascii="仿宋_GB2312" w:eastAsia="仿宋_GB2312" w:hAnsiTheme="minorHAnsi" w:cstheme="minorBidi"/>
          <w:kern w:val="2"/>
          <w:sz w:val="32"/>
          <w:szCs w:val="32"/>
          <w:lang w:val="en-US" w:eastAsia="zh-CN" w:bidi="ar-SA"/>
        </w:rPr>
        <w:t>2021年财政拨款支出总计914.85万元，与2020年相比，财政拨款支出总计增长27.15万元，增长3.1%。主要变动原因我单位新购一辆公务用车支出59.6万元、本单位举办“庆祝中国共产党成立100周年档案史料展”项目支出经费19万元、单位采购档案库房空调项目支出经费20万元，同时今年我单位新增两名职工且今年补发了一笔2020年目标考核经费，同时</w:t>
      </w:r>
      <w:r>
        <w:rPr>
          <w:rFonts w:hint="eastAsia" w:ascii="仿宋" w:hAnsi="仿宋" w:eastAsia="仿宋"/>
          <w:color w:val="000000"/>
          <w:sz w:val="32"/>
          <w:szCs w:val="32"/>
        </w:rPr>
        <w:t>年初结转和结余</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年相比减少</w:t>
      </w:r>
      <w:r>
        <w:rPr>
          <w:rFonts w:hint="eastAsia" w:ascii="仿宋" w:hAnsi="仿宋" w:eastAsia="仿宋"/>
          <w:color w:val="000000"/>
          <w:sz w:val="32"/>
          <w:szCs w:val="32"/>
          <w:lang w:val="en-US" w:eastAsia="zh-CN"/>
        </w:rPr>
        <w:t>175.96万元。</w:t>
      </w:r>
      <w:r>
        <w:rPr>
          <w:rFonts w:hint="eastAsia" w:ascii="仿宋" w:eastAsia="仿宋"/>
          <w:b/>
          <w:sz w:val="32"/>
          <w:szCs w:val="32"/>
        </w:rPr>
        <w:t>（注：数据来源于财决</w:t>
      </w:r>
      <w:r>
        <w:rPr>
          <w:rFonts w:ascii="仿宋" w:eastAsia="仿宋"/>
          <w:b/>
          <w:sz w:val="32"/>
          <w:szCs w:val="32"/>
        </w:rPr>
        <w:t>01-1</w:t>
      </w:r>
      <w:r>
        <w:rPr>
          <w:rFonts w:hint="eastAsia" w:ascii="仿宋" w:eastAsia="仿宋"/>
          <w:b/>
          <w:sz w:val="32"/>
          <w:szCs w:val="32"/>
        </w:rPr>
        <w:t>表</w:t>
      </w:r>
      <w:r>
        <w:rPr>
          <w:rFonts w:ascii="仿宋" w:eastAsia="仿宋"/>
          <w:b/>
          <w:sz w:val="32"/>
          <w:szCs w:val="32"/>
        </w:rPr>
        <w:t>）</w:t>
      </w:r>
    </w:p>
    <w:p>
      <w:pPr>
        <w:rPr>
          <w:rFonts w:hint="eastAsia"/>
          <w:lang w:eastAsia="zh-CN"/>
        </w:rPr>
      </w:pPr>
    </w:p>
    <w:p>
      <w:pPr>
        <w:rPr>
          <w:rFonts w:hint="eastAsia"/>
          <w:lang w:eastAsia="zh-CN"/>
        </w:rPr>
      </w:pPr>
      <w:r>
        <w:rPr>
          <w:rFonts w:hint="eastAsia"/>
          <w:lang w:eastAsia="zh-CN"/>
        </w:rPr>
        <w:drawing>
          <wp:inline distT="0" distB="0" distL="114300" distR="114300">
            <wp:extent cx="5080000" cy="3810000"/>
            <wp:effectExtent l="4445" t="4445" r="20955"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outlineLvl w:val="1"/>
        <w:rPr>
          <w:rFonts w:ascii="仿宋" w:eastAsia="仿宋"/>
          <w:b/>
          <w:sz w:val="32"/>
          <w:szCs w:val="32"/>
        </w:rPr>
      </w:pPr>
      <w:r>
        <w:rPr>
          <w:rFonts w:hint="eastAsia" w:ascii="仿宋_GB2312" w:eastAsia="仿宋_GB2312" w:hAnsiTheme="minorHAnsi" w:cstheme="minorBidi"/>
          <w:kern w:val="2"/>
          <w:sz w:val="32"/>
          <w:szCs w:val="32"/>
          <w:lang w:val="en-US" w:eastAsia="zh-CN" w:bidi="ar-SA"/>
        </w:rPr>
        <w:t>（图4：财政拨款收、支决算总计变动情况）（柱状图）</w:t>
      </w:r>
    </w:p>
    <w:p>
      <w:pPr>
        <w:keepNext w:val="0"/>
        <w:keepLines w:val="0"/>
        <w:pageBreakBefore w:val="0"/>
        <w:widowControl w:val="0"/>
        <w:kinsoku/>
        <w:wordWrap/>
        <w:overflowPunct/>
        <w:topLinePunct w:val="0"/>
        <w:bidi w:val="0"/>
        <w:snapToGrid/>
        <w:spacing w:line="600" w:lineRule="exact"/>
        <w:ind w:firstLine="640" w:firstLineChars="200"/>
        <w:textAlignment w:val="auto"/>
        <w:outlineLvl w:val="1"/>
        <w:rPr>
          <w:rStyle w:val="24"/>
          <w:rFonts w:ascii="黑体" w:eastAsia="黑体"/>
          <w:b w:val="0"/>
        </w:rPr>
      </w:pPr>
      <w:bookmarkStart w:id="32" w:name="_Toc15396607"/>
      <w:bookmarkStart w:id="33" w:name="_Toc15377209"/>
      <w:r>
        <w:rPr>
          <w:rFonts w:hint="eastAsia" w:ascii="黑体" w:eastAsia="黑体"/>
          <w:sz w:val="32"/>
          <w:szCs w:val="32"/>
        </w:rPr>
        <w:t>五、</w:t>
      </w:r>
      <w:r>
        <w:rPr>
          <w:rFonts w:hint="eastAsia" w:ascii="黑体" w:eastAsia="黑体"/>
          <w:b/>
          <w:sz w:val="32"/>
          <w:szCs w:val="32"/>
        </w:rPr>
        <w:t>一</w:t>
      </w:r>
      <w:r>
        <w:rPr>
          <w:rStyle w:val="24"/>
          <w:rFonts w:hint="eastAsia" w:ascii="黑体" w:eastAsia="黑体"/>
          <w:b w:val="0"/>
        </w:rPr>
        <w:t>般公共预算财政拨款支出决算情况说明</w:t>
      </w:r>
      <w:bookmarkEnd w:id="32"/>
      <w:bookmarkEnd w:id="33"/>
    </w:p>
    <w:p>
      <w:pPr>
        <w:keepNext w:val="0"/>
        <w:keepLines w:val="0"/>
        <w:pageBreakBefore w:val="0"/>
        <w:widowControl w:val="0"/>
        <w:kinsoku/>
        <w:wordWrap/>
        <w:overflowPunct/>
        <w:topLinePunct w:val="0"/>
        <w:bidi w:val="0"/>
        <w:snapToGrid/>
        <w:spacing w:line="600" w:lineRule="exact"/>
        <w:ind w:firstLine="642" w:firstLineChars="200"/>
        <w:textAlignment w:val="auto"/>
        <w:outlineLvl w:val="2"/>
        <w:rPr>
          <w:rFonts w:hint="eastAsia" w:ascii="楷体_GB2312" w:hAnsi="Times New Roman" w:eastAsia="楷体_GB2312" w:cs="Times New Roman"/>
          <w:color w:val="000000"/>
          <w:kern w:val="0"/>
          <w:sz w:val="32"/>
          <w:szCs w:val="32"/>
          <w:lang w:val="en-US" w:eastAsia="zh-CN" w:bidi="ar-SA"/>
        </w:rPr>
      </w:pPr>
      <w:bookmarkStart w:id="34" w:name="_Toc15377210"/>
      <w:r>
        <w:rPr>
          <w:rFonts w:hint="eastAsia" w:ascii="仿宋" w:eastAsia="仿宋"/>
          <w:b/>
          <w:sz w:val="32"/>
          <w:szCs w:val="32"/>
        </w:rPr>
        <w:t>（</w:t>
      </w:r>
      <w:r>
        <w:rPr>
          <w:rFonts w:hint="eastAsia" w:ascii="楷体_GB2312" w:hAnsi="Times New Roman" w:eastAsia="楷体_GB2312" w:cs="Times New Roman"/>
          <w:color w:val="000000"/>
          <w:kern w:val="0"/>
          <w:sz w:val="32"/>
          <w:szCs w:val="32"/>
          <w:lang w:val="en-US" w:eastAsia="zh-CN" w:bidi="ar-SA"/>
        </w:rPr>
        <w:t>一）一般公共预算财政拨款支出决算总体情况</w:t>
      </w:r>
      <w:bookmarkEnd w:id="34"/>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outlineLvl w:val="1"/>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2021年一般公共预算财政拨款支出总计914.85万元，占本年支出合计的90.58%。与2020年相比，财政拨款支出总计增加27.15万元，增长3.1%。主要变动原因是我单位新购一辆公务用车支出59.6万元、本单位举办“庆祝中国共产党成立100周年档案史料展”项目支出经费19万元、单位采购档案库房空调项目支出经费20万元，同时今年我单位新增两名职工且今年补发了一笔2020年目标考核经费，同时年初结转和结余支出与2020年相比减少175.96万元。</w:t>
      </w:r>
    </w:p>
    <w:p>
      <w:pPr>
        <w:rPr>
          <w:rFonts w:hint="eastAsia"/>
          <w:lang w:val="en-US" w:eastAsia="zh-CN"/>
        </w:rPr>
      </w:pPr>
      <w:r>
        <w:rPr>
          <w:rFonts w:hint="eastAsia" w:ascii="仿宋_GB2312" w:eastAsia="仿宋_GB2312" w:hAnsiTheme="minorHAnsi" w:cstheme="minorBidi"/>
          <w:kern w:val="2"/>
          <w:sz w:val="32"/>
          <w:szCs w:val="32"/>
          <w:lang w:val="en-US" w:eastAsia="zh-CN" w:bidi="ar-SA"/>
        </w:rPr>
        <w:drawing>
          <wp:inline distT="0" distB="0" distL="114300" distR="114300">
            <wp:extent cx="5080000" cy="3810000"/>
            <wp:effectExtent l="4445" t="4445" r="20955" b="1460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outlineLvl w:val="1"/>
        <w:rPr>
          <w:rFonts w:ascii="仿宋" w:eastAsia="仿宋"/>
          <w:sz w:val="32"/>
          <w:szCs w:val="32"/>
        </w:rPr>
      </w:pPr>
      <w:r>
        <w:rPr>
          <w:rFonts w:hint="eastAsia" w:ascii="仿宋_GB2312" w:eastAsia="仿宋_GB2312" w:hAnsiTheme="minorHAnsi" w:cstheme="minorBidi"/>
          <w:kern w:val="2"/>
          <w:sz w:val="32"/>
          <w:szCs w:val="32"/>
          <w:lang w:val="en-US" w:eastAsia="zh-CN" w:bidi="ar-SA"/>
        </w:rPr>
        <w:t>（图5：一般公共预算财政拨款支出决算变动情况）（柱状图）</w:t>
      </w:r>
    </w:p>
    <w:p>
      <w:pPr>
        <w:keepNext w:val="0"/>
        <w:keepLines w:val="0"/>
        <w:pageBreakBefore w:val="0"/>
        <w:widowControl w:val="0"/>
        <w:kinsoku/>
        <w:wordWrap/>
        <w:overflowPunct/>
        <w:topLinePunct w:val="0"/>
        <w:bidi w:val="0"/>
        <w:snapToGrid/>
        <w:spacing w:line="600" w:lineRule="exact"/>
        <w:ind w:firstLine="640" w:firstLineChars="200"/>
        <w:textAlignment w:val="auto"/>
        <w:outlineLvl w:val="2"/>
        <w:rPr>
          <w:rFonts w:hint="eastAsia" w:ascii="楷体_GB2312" w:hAnsi="Times New Roman" w:eastAsia="楷体_GB2312" w:cs="Times New Roman"/>
          <w:color w:val="000000"/>
          <w:kern w:val="0"/>
          <w:sz w:val="32"/>
          <w:szCs w:val="32"/>
          <w:lang w:val="en-US" w:eastAsia="zh-CN" w:bidi="ar-SA"/>
        </w:rPr>
      </w:pPr>
      <w:bookmarkStart w:id="35" w:name="_Toc15377211"/>
      <w:r>
        <w:rPr>
          <w:rFonts w:hint="eastAsia" w:ascii="楷体_GB2312" w:hAnsi="Times New Roman" w:eastAsia="楷体_GB2312" w:cs="Times New Roman"/>
          <w:color w:val="000000"/>
          <w:kern w:val="0"/>
          <w:sz w:val="32"/>
          <w:szCs w:val="32"/>
          <w:lang w:val="en-US" w:eastAsia="zh-CN" w:bidi="ar-SA"/>
        </w:rPr>
        <w:t>（二）一般公共预算财政拨款支出决算结构情况</w:t>
      </w:r>
      <w:bookmarkEnd w:id="35"/>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outlineLvl w:val="1"/>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2021年一般公共预算财政拨款支出914.85万元，主要用于以下方面:一般公共服务（类）支出778.18万元，占85.06%；教育支出（类）0万元，占0%；科学技术（类）支出0万元，占0%；文化旅游体育与传媒（类）支出0万元，占0%；社会保障和就业（类）支出64.86万元，占7.09%；卫生健康支出29.92万元，占3.27%；住房保障支出41.89万元，占4.58%。（注：数据来源于财决01-1表，仅罗列本部门涉及的全部功能分类科目，至类级。）</w:t>
      </w:r>
    </w:p>
    <w:p>
      <w:pPr>
        <w:pStyle w:val="14"/>
        <w:rPr>
          <w:rFonts w:hint="eastAsia"/>
          <w:lang w:val="en-US" w:eastAsia="zh-CN"/>
        </w:rPr>
      </w:pPr>
      <w:r>
        <w:rPr>
          <w:rFonts w:hint="eastAsia" w:ascii="仿宋_GB2312" w:eastAsia="仿宋_GB2312" w:hAnsiTheme="minorHAnsi" w:cstheme="minorBidi"/>
          <w:kern w:val="2"/>
          <w:sz w:val="32"/>
          <w:szCs w:val="32"/>
          <w:lang w:val="en-US" w:eastAsia="zh-CN" w:bidi="ar-SA"/>
        </w:rPr>
        <w:drawing>
          <wp:inline distT="0" distB="0" distL="114300" distR="114300">
            <wp:extent cx="5080000" cy="3810000"/>
            <wp:effectExtent l="4445" t="4445" r="20955" b="1460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outlineLvl w:val="1"/>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（图6：一般公共预算财政拨款支出决算结构）（饼状图）</w:t>
      </w:r>
    </w:p>
    <w:p>
      <w:pPr>
        <w:keepNext w:val="0"/>
        <w:keepLines w:val="0"/>
        <w:pageBreakBefore w:val="0"/>
        <w:widowControl w:val="0"/>
        <w:kinsoku/>
        <w:wordWrap/>
        <w:overflowPunct/>
        <w:topLinePunct w:val="0"/>
        <w:bidi w:val="0"/>
        <w:snapToGrid/>
        <w:spacing w:line="600" w:lineRule="exact"/>
        <w:ind w:firstLine="640" w:firstLineChars="200"/>
        <w:textAlignment w:val="auto"/>
        <w:outlineLvl w:val="2"/>
        <w:rPr>
          <w:rFonts w:hint="eastAsia" w:ascii="楷体_GB2312" w:hAnsi="Times New Roman" w:eastAsia="楷体_GB2312" w:cs="Times New Roman"/>
          <w:color w:val="000000"/>
          <w:kern w:val="0"/>
          <w:sz w:val="32"/>
          <w:szCs w:val="32"/>
          <w:lang w:val="en-US" w:eastAsia="zh-CN" w:bidi="ar-SA"/>
        </w:rPr>
      </w:pPr>
      <w:bookmarkStart w:id="36" w:name="_Toc15377212"/>
      <w:r>
        <w:rPr>
          <w:rFonts w:hint="eastAsia" w:ascii="楷体_GB2312" w:hAnsi="Times New Roman" w:eastAsia="楷体_GB2312" w:cs="Times New Roman"/>
          <w:color w:val="000000"/>
          <w:kern w:val="0"/>
          <w:sz w:val="32"/>
          <w:szCs w:val="32"/>
          <w:lang w:val="en-US" w:eastAsia="zh-CN" w:bidi="ar-SA"/>
        </w:rPr>
        <w:t>（三）一般公共预算财政拨款支出决算具体情况</w:t>
      </w:r>
      <w:bookmarkEnd w:id="36"/>
    </w:p>
    <w:p>
      <w:pPr>
        <w:keepNext w:val="0"/>
        <w:keepLines w:val="0"/>
        <w:pageBreakBefore w:val="0"/>
        <w:widowControl w:val="0"/>
        <w:kinsoku/>
        <w:wordWrap/>
        <w:overflowPunct/>
        <w:topLinePunct w:val="0"/>
        <w:bidi w:val="0"/>
        <w:snapToGrid/>
        <w:spacing w:line="600" w:lineRule="exact"/>
        <w:ind w:firstLine="642" w:firstLineChars="200"/>
        <w:textAlignment w:val="auto"/>
        <w:outlineLvl w:val="2"/>
        <w:rPr>
          <w:rFonts w:ascii="仿宋" w:eastAsia="仿宋"/>
          <w:sz w:val="32"/>
          <w:szCs w:val="32"/>
        </w:rPr>
      </w:pPr>
      <w:bookmarkStart w:id="37" w:name="_Toc15378460"/>
      <w:bookmarkStart w:id="38" w:name="_Toc15377444"/>
      <w:bookmarkStart w:id="39" w:name="_Toc15377213"/>
      <w:r>
        <w:rPr>
          <w:rFonts w:hint="eastAsia" w:ascii="仿宋" w:eastAsia="仿宋"/>
          <w:b/>
          <w:sz w:val="32"/>
          <w:szCs w:val="32"/>
        </w:rPr>
        <w:t>2021年一般公共预算支出决算数为</w:t>
      </w:r>
      <w:r>
        <w:rPr>
          <w:rFonts w:hint="eastAsia" w:ascii="仿宋" w:eastAsia="仿宋"/>
          <w:b/>
          <w:sz w:val="32"/>
          <w:szCs w:val="32"/>
          <w:lang w:val="en-US" w:eastAsia="zh-CN"/>
        </w:rPr>
        <w:t>914.85</w:t>
      </w:r>
      <w:r>
        <w:rPr>
          <w:rFonts w:hint="eastAsia" w:ascii="仿宋" w:eastAsia="仿宋"/>
          <w:sz w:val="32"/>
          <w:szCs w:val="32"/>
        </w:rPr>
        <w:t>，</w:t>
      </w:r>
      <w:r>
        <w:rPr>
          <w:rStyle w:val="20"/>
          <w:rFonts w:hint="eastAsia" w:ascii="仿宋" w:eastAsia="仿宋"/>
          <w:bCs/>
          <w:sz w:val="32"/>
          <w:szCs w:val="32"/>
        </w:rPr>
        <w:t>完成预算</w:t>
      </w:r>
      <w:r>
        <w:rPr>
          <w:rStyle w:val="20"/>
          <w:rFonts w:hint="eastAsia" w:ascii="仿宋" w:eastAsia="仿宋"/>
          <w:bCs/>
          <w:sz w:val="32"/>
          <w:szCs w:val="32"/>
          <w:lang w:val="en-US" w:eastAsia="zh-CN"/>
        </w:rPr>
        <w:t>100</w:t>
      </w:r>
      <w:r>
        <w:rPr>
          <w:rStyle w:val="20"/>
          <w:rFonts w:ascii="仿宋" w:eastAsia="仿宋"/>
          <w:bCs/>
          <w:sz w:val="32"/>
          <w:szCs w:val="32"/>
        </w:rPr>
        <w:t>%</w:t>
      </w:r>
      <w:r>
        <w:rPr>
          <w:rStyle w:val="20"/>
          <w:rFonts w:hint="eastAsia" w:ascii="仿宋" w:eastAsia="仿宋"/>
          <w:bCs/>
          <w:sz w:val="32"/>
          <w:szCs w:val="32"/>
        </w:rPr>
        <w:t>。其中：</w:t>
      </w:r>
      <w:bookmarkEnd w:id="37"/>
      <w:bookmarkEnd w:id="38"/>
      <w:bookmarkEnd w:id="39"/>
    </w:p>
    <w:p>
      <w:pPr>
        <w:numPr>
          <w:ilvl w:val="0"/>
          <w:numId w:val="0"/>
        </w:numPr>
        <w:spacing w:line="600" w:lineRule="exact"/>
        <w:ind w:firstLine="642" w:firstLineChars="200"/>
        <w:rPr>
          <w:rFonts w:hint="eastAsia" w:ascii="仿宋_GB2312" w:eastAsia="仿宋_GB2312" w:hAnsiTheme="minorHAnsi" w:cstheme="minorBidi"/>
          <w:kern w:val="2"/>
          <w:sz w:val="32"/>
          <w:szCs w:val="32"/>
          <w:lang w:val="en-US" w:eastAsia="zh-CN" w:bidi="ar-SA"/>
        </w:rPr>
      </w:pPr>
      <w:r>
        <w:rPr>
          <w:rStyle w:val="20"/>
          <w:rFonts w:hint="eastAsia" w:ascii="仿宋" w:hAnsi="仿宋" w:eastAsia="仿宋"/>
          <w:bCs/>
          <w:color w:val="000000"/>
          <w:sz w:val="32"/>
          <w:szCs w:val="32"/>
          <w:lang w:val="en-US" w:eastAsia="zh-CN"/>
        </w:rPr>
        <w:t>1.</w:t>
      </w:r>
      <w:r>
        <w:rPr>
          <w:rStyle w:val="20"/>
          <w:rFonts w:hint="eastAsia" w:ascii="仿宋" w:hAnsi="仿宋" w:eastAsia="仿宋"/>
          <w:bCs/>
          <w:color w:val="000000"/>
          <w:sz w:val="32"/>
          <w:szCs w:val="32"/>
        </w:rPr>
        <w:t>一般公共服务（类）</w:t>
      </w:r>
      <w:r>
        <w:rPr>
          <w:rStyle w:val="20"/>
          <w:rFonts w:hint="eastAsia" w:ascii="仿宋" w:hAnsi="仿宋" w:eastAsia="仿宋"/>
          <w:bCs/>
          <w:color w:val="000000"/>
          <w:sz w:val="32"/>
          <w:szCs w:val="32"/>
          <w:lang w:val="en-US" w:eastAsia="zh-CN"/>
        </w:rPr>
        <w:t>201</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26</w:t>
      </w:r>
      <w:r>
        <w:rPr>
          <w:rStyle w:val="20"/>
          <w:rFonts w:hint="eastAsia" w:ascii="仿宋" w:hAnsi="仿宋" w:eastAsia="仿宋"/>
          <w:bCs/>
          <w:color w:val="000000"/>
          <w:sz w:val="32"/>
          <w:szCs w:val="32"/>
        </w:rPr>
        <w:t>（项）</w:t>
      </w:r>
      <w:r>
        <w:rPr>
          <w:rStyle w:val="20"/>
          <w:rFonts w:hint="eastAsia" w:ascii="仿宋" w:hAnsi="仿宋" w:eastAsia="仿宋"/>
          <w:bCs/>
          <w:color w:val="000000"/>
          <w:sz w:val="32"/>
          <w:szCs w:val="32"/>
          <w:lang w:val="en-US" w:eastAsia="zh-CN"/>
        </w:rPr>
        <w:t>01——行政运行</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Fonts w:hint="eastAsia" w:ascii="仿宋_GB2312" w:eastAsia="仿宋_GB2312" w:hAnsiTheme="minorHAnsi" w:cstheme="minorBidi"/>
          <w:kern w:val="2"/>
          <w:sz w:val="32"/>
          <w:szCs w:val="32"/>
          <w:lang w:val="en-US" w:eastAsia="zh-CN" w:bidi="ar-SA"/>
        </w:rPr>
        <w:t>支出决算为615.06万元，完成预算100%，决算数等于预算；</w:t>
      </w:r>
    </w:p>
    <w:p>
      <w:pPr>
        <w:numPr>
          <w:ilvl w:val="0"/>
          <w:numId w:val="0"/>
        </w:numPr>
        <w:spacing w:line="600" w:lineRule="exact"/>
        <w:ind w:firstLine="642" w:firstLineChars="200"/>
        <w:rPr>
          <w:rFonts w:hint="eastAsia" w:ascii="仿宋_GB2312" w:eastAsia="仿宋_GB2312" w:hAnsiTheme="minorHAnsi" w:cstheme="minorBidi"/>
          <w:kern w:val="2"/>
          <w:sz w:val="32"/>
          <w:szCs w:val="32"/>
          <w:lang w:val="en-US" w:eastAsia="zh-CN" w:bidi="ar-SA"/>
        </w:rPr>
      </w:pPr>
      <w:r>
        <w:rPr>
          <w:rStyle w:val="20"/>
          <w:rFonts w:hint="eastAsia" w:ascii="仿宋" w:hAnsi="仿宋" w:eastAsia="仿宋"/>
          <w:bCs/>
          <w:color w:val="000000"/>
          <w:sz w:val="32"/>
          <w:szCs w:val="32"/>
          <w:lang w:val="en-US" w:eastAsia="zh-CN"/>
        </w:rPr>
        <w:t>2.</w:t>
      </w:r>
      <w:r>
        <w:rPr>
          <w:rStyle w:val="20"/>
          <w:rFonts w:hint="eastAsia" w:ascii="仿宋" w:hAnsi="仿宋" w:eastAsia="仿宋"/>
          <w:bCs/>
          <w:color w:val="000000"/>
          <w:sz w:val="32"/>
          <w:szCs w:val="32"/>
        </w:rPr>
        <w:t>一般公共服务（类）</w:t>
      </w:r>
      <w:r>
        <w:rPr>
          <w:rStyle w:val="20"/>
          <w:rFonts w:hint="eastAsia" w:ascii="仿宋" w:hAnsi="仿宋" w:eastAsia="仿宋"/>
          <w:bCs/>
          <w:color w:val="000000"/>
          <w:sz w:val="32"/>
          <w:szCs w:val="32"/>
          <w:lang w:val="en-US" w:eastAsia="zh-CN"/>
        </w:rPr>
        <w:t>201</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26</w:t>
      </w:r>
      <w:r>
        <w:rPr>
          <w:rStyle w:val="20"/>
          <w:rFonts w:hint="eastAsia" w:ascii="仿宋" w:hAnsi="仿宋" w:eastAsia="仿宋"/>
          <w:bCs/>
          <w:color w:val="000000"/>
          <w:sz w:val="32"/>
          <w:szCs w:val="32"/>
        </w:rPr>
        <w:t>（项）</w:t>
      </w:r>
      <w:r>
        <w:rPr>
          <w:rStyle w:val="20"/>
          <w:rFonts w:hint="eastAsia" w:ascii="仿宋" w:hAnsi="仿宋" w:eastAsia="仿宋"/>
          <w:bCs/>
          <w:color w:val="000000"/>
          <w:sz w:val="32"/>
          <w:szCs w:val="32"/>
          <w:lang w:val="en-US" w:eastAsia="zh-CN"/>
        </w:rPr>
        <w:t>02——一般行政管理事务</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w:t>
      </w:r>
      <w:r>
        <w:rPr>
          <w:rFonts w:hint="eastAsia" w:ascii="仿宋_GB2312" w:eastAsia="仿宋_GB2312" w:hAnsiTheme="minorHAnsi" w:cstheme="minorBidi"/>
          <w:kern w:val="2"/>
          <w:sz w:val="32"/>
          <w:szCs w:val="32"/>
          <w:lang w:val="en-US" w:eastAsia="zh-CN" w:bidi="ar-SA"/>
        </w:rPr>
        <w:t>出决算为73.56万元，完成预算100%，决算数等于预算；</w:t>
      </w:r>
    </w:p>
    <w:p>
      <w:pPr>
        <w:numPr>
          <w:ilvl w:val="0"/>
          <w:numId w:val="0"/>
        </w:numPr>
        <w:spacing w:line="600" w:lineRule="exact"/>
        <w:ind w:firstLine="642" w:firstLineChars="200"/>
        <w:rPr>
          <w:rFonts w:hint="eastAsia" w:ascii="仿宋_GB2312" w:eastAsia="仿宋_GB2312" w:hAnsiTheme="minorHAnsi" w:cstheme="minorBidi"/>
          <w:kern w:val="2"/>
          <w:sz w:val="32"/>
          <w:szCs w:val="32"/>
          <w:lang w:val="en-US" w:eastAsia="zh-CN" w:bidi="ar-SA"/>
        </w:rPr>
      </w:pPr>
      <w:r>
        <w:rPr>
          <w:rStyle w:val="20"/>
          <w:rFonts w:hint="eastAsia" w:ascii="仿宋" w:hAnsi="仿宋" w:eastAsia="仿宋"/>
          <w:bCs/>
          <w:color w:val="000000"/>
          <w:sz w:val="32"/>
          <w:szCs w:val="32"/>
          <w:lang w:val="en-US" w:eastAsia="zh-CN"/>
        </w:rPr>
        <w:t>3.</w:t>
      </w:r>
      <w:r>
        <w:rPr>
          <w:rStyle w:val="20"/>
          <w:rFonts w:hint="eastAsia" w:ascii="仿宋" w:hAnsi="仿宋" w:eastAsia="仿宋"/>
          <w:bCs/>
          <w:color w:val="000000"/>
          <w:sz w:val="32"/>
          <w:szCs w:val="32"/>
        </w:rPr>
        <w:t>一般公共服务（类）</w:t>
      </w:r>
      <w:r>
        <w:rPr>
          <w:rStyle w:val="20"/>
          <w:rFonts w:hint="eastAsia" w:ascii="仿宋" w:hAnsi="仿宋" w:eastAsia="仿宋"/>
          <w:bCs/>
          <w:color w:val="000000"/>
          <w:sz w:val="32"/>
          <w:szCs w:val="32"/>
          <w:lang w:val="en-US" w:eastAsia="zh-CN"/>
        </w:rPr>
        <w:t>201</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26</w:t>
      </w:r>
      <w:r>
        <w:rPr>
          <w:rStyle w:val="20"/>
          <w:rFonts w:hint="eastAsia" w:ascii="仿宋" w:hAnsi="仿宋" w:eastAsia="仿宋"/>
          <w:bCs/>
          <w:color w:val="000000"/>
          <w:sz w:val="32"/>
          <w:szCs w:val="32"/>
        </w:rPr>
        <w:t>（项）</w:t>
      </w:r>
      <w:r>
        <w:rPr>
          <w:rStyle w:val="20"/>
          <w:rFonts w:hint="eastAsia" w:ascii="仿宋" w:hAnsi="仿宋" w:eastAsia="仿宋"/>
          <w:bCs/>
          <w:color w:val="000000"/>
          <w:sz w:val="32"/>
          <w:szCs w:val="32"/>
          <w:lang w:val="en-US" w:eastAsia="zh-CN"/>
        </w:rPr>
        <w:t>04——档案馆</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w:t>
      </w:r>
      <w:r>
        <w:rPr>
          <w:rFonts w:hint="eastAsia" w:ascii="仿宋_GB2312" w:eastAsia="仿宋_GB2312" w:hAnsiTheme="minorHAnsi" w:cstheme="minorBidi"/>
          <w:kern w:val="2"/>
          <w:sz w:val="32"/>
          <w:szCs w:val="32"/>
          <w:lang w:val="en-US" w:eastAsia="zh-CN" w:bidi="ar-SA"/>
        </w:rPr>
        <w:t>出决算为70万元，完成预算100%，决算数等于预算；</w:t>
      </w:r>
    </w:p>
    <w:p>
      <w:pPr>
        <w:numPr>
          <w:ilvl w:val="0"/>
          <w:numId w:val="0"/>
        </w:numPr>
        <w:spacing w:line="600" w:lineRule="exact"/>
        <w:ind w:firstLine="642" w:firstLineChars="200"/>
        <w:rPr>
          <w:rFonts w:hint="eastAsia" w:ascii="仿宋_GB2312" w:eastAsia="仿宋_GB2312" w:hAnsiTheme="minorHAnsi" w:cstheme="minorBidi"/>
          <w:kern w:val="2"/>
          <w:sz w:val="32"/>
          <w:szCs w:val="32"/>
          <w:lang w:val="en-US" w:eastAsia="zh-CN" w:bidi="ar-SA"/>
        </w:rPr>
      </w:pPr>
      <w:r>
        <w:rPr>
          <w:rStyle w:val="20"/>
          <w:rFonts w:hint="eastAsia" w:ascii="仿宋" w:hAnsi="仿宋" w:eastAsia="仿宋"/>
          <w:bCs/>
          <w:color w:val="000000"/>
          <w:sz w:val="32"/>
          <w:szCs w:val="32"/>
          <w:lang w:val="en-US" w:eastAsia="zh-CN"/>
        </w:rPr>
        <w:t>4.</w:t>
      </w:r>
      <w:r>
        <w:rPr>
          <w:rStyle w:val="20"/>
          <w:rFonts w:hint="eastAsia" w:ascii="仿宋" w:hAnsi="仿宋" w:eastAsia="仿宋"/>
          <w:bCs/>
          <w:color w:val="000000"/>
          <w:sz w:val="32"/>
          <w:szCs w:val="32"/>
        </w:rPr>
        <w:t>一般公共服务（类）</w:t>
      </w:r>
      <w:r>
        <w:rPr>
          <w:rStyle w:val="20"/>
          <w:rFonts w:hint="eastAsia" w:ascii="仿宋" w:hAnsi="仿宋" w:eastAsia="仿宋"/>
          <w:bCs/>
          <w:color w:val="000000"/>
          <w:sz w:val="32"/>
          <w:szCs w:val="32"/>
          <w:lang w:val="en-US" w:eastAsia="zh-CN"/>
        </w:rPr>
        <w:t>201</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99</w:t>
      </w:r>
      <w:r>
        <w:rPr>
          <w:rStyle w:val="20"/>
          <w:rFonts w:hint="eastAsia" w:ascii="仿宋" w:hAnsi="仿宋" w:eastAsia="仿宋"/>
          <w:bCs/>
          <w:color w:val="000000"/>
          <w:sz w:val="32"/>
          <w:szCs w:val="32"/>
        </w:rPr>
        <w:t>（项）</w:t>
      </w:r>
      <w:r>
        <w:rPr>
          <w:rStyle w:val="20"/>
          <w:rFonts w:hint="eastAsia" w:ascii="仿宋" w:hAnsi="仿宋" w:eastAsia="仿宋"/>
          <w:bCs/>
          <w:color w:val="000000"/>
          <w:sz w:val="32"/>
          <w:szCs w:val="32"/>
          <w:lang w:val="en-US" w:eastAsia="zh-CN"/>
        </w:rPr>
        <w:t>99——其他一般公共服务支出</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Fonts w:hint="eastAsia" w:ascii="仿宋_GB2312" w:eastAsia="仿宋_GB2312" w:hAnsiTheme="minorHAnsi" w:cstheme="minorBidi"/>
          <w:kern w:val="2"/>
          <w:sz w:val="32"/>
          <w:szCs w:val="32"/>
          <w:lang w:val="en-US" w:eastAsia="zh-CN" w:bidi="ar-SA"/>
        </w:rPr>
        <w:t>支出决算为19.56万元，完成预算100%，决算数等于预算。</w:t>
      </w:r>
    </w:p>
    <w:p>
      <w:pPr>
        <w:spacing w:line="600" w:lineRule="exact"/>
        <w:ind w:firstLine="642" w:firstLineChars="200"/>
        <w:rPr>
          <w:rFonts w:hint="eastAsia" w:ascii="仿宋_GB2312" w:eastAsia="仿宋_GB2312" w:hAnsiTheme="minorHAnsi" w:cstheme="minorBidi"/>
          <w:kern w:val="2"/>
          <w:sz w:val="32"/>
          <w:szCs w:val="32"/>
          <w:lang w:val="en-US" w:eastAsia="zh-CN" w:bidi="ar-SA"/>
        </w:rPr>
      </w:pPr>
      <w:r>
        <w:rPr>
          <w:rStyle w:val="20"/>
          <w:rFonts w:hint="eastAsia" w:ascii="仿宋" w:hAnsi="仿宋" w:eastAsia="仿宋"/>
          <w:bCs/>
          <w:color w:val="000000"/>
          <w:sz w:val="32"/>
          <w:szCs w:val="32"/>
          <w:lang w:val="en-US" w:eastAsia="zh-CN"/>
        </w:rPr>
        <w:t>4</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社会保障和就业（类）</w:t>
      </w:r>
      <w:r>
        <w:rPr>
          <w:rStyle w:val="20"/>
          <w:rFonts w:hint="eastAsia" w:ascii="仿宋" w:hAnsi="仿宋" w:eastAsia="仿宋"/>
          <w:bCs/>
          <w:color w:val="000000"/>
          <w:sz w:val="32"/>
          <w:szCs w:val="32"/>
          <w:lang w:val="en-US" w:eastAsia="zh-CN"/>
        </w:rPr>
        <w:t>208</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eastAsia="zh-CN"/>
        </w:rPr>
        <w:t>）</w:t>
      </w:r>
      <w:r>
        <w:rPr>
          <w:rStyle w:val="20"/>
          <w:rFonts w:hint="eastAsia" w:ascii="仿宋" w:hAnsi="仿宋" w:eastAsia="仿宋"/>
          <w:bCs/>
          <w:color w:val="000000"/>
          <w:sz w:val="32"/>
          <w:szCs w:val="32"/>
          <w:lang w:val="en-US" w:eastAsia="zh-CN"/>
        </w:rPr>
        <w:t>05</w:t>
      </w:r>
      <w:r>
        <w:rPr>
          <w:rStyle w:val="20"/>
          <w:rFonts w:hint="eastAsia" w:ascii="仿宋" w:hAnsi="仿宋" w:eastAsia="仿宋"/>
          <w:bCs/>
          <w:color w:val="000000"/>
          <w:sz w:val="32"/>
          <w:szCs w:val="32"/>
        </w:rPr>
        <w:t>（项）</w:t>
      </w:r>
      <w:r>
        <w:rPr>
          <w:rStyle w:val="20"/>
          <w:rFonts w:hint="eastAsia" w:ascii="仿宋" w:hAnsi="仿宋" w:eastAsia="仿宋"/>
          <w:bCs/>
          <w:color w:val="000000"/>
          <w:sz w:val="32"/>
          <w:szCs w:val="32"/>
          <w:lang w:val="en-US" w:eastAsia="zh-CN"/>
        </w:rPr>
        <w:t>05——机关事业单位基本养老保险缴费支出</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w:t>
      </w:r>
      <w:r>
        <w:rPr>
          <w:rFonts w:hint="eastAsia" w:ascii="仿宋_GB2312" w:eastAsia="仿宋_GB2312" w:hAnsiTheme="minorHAnsi" w:cstheme="minorBidi"/>
          <w:kern w:val="2"/>
          <w:sz w:val="32"/>
          <w:szCs w:val="32"/>
          <w:lang w:val="en-US" w:eastAsia="zh-CN" w:bidi="ar-SA"/>
        </w:rPr>
        <w:t>出决算为43.24万元，完成预算100%，决算数等于预算；</w:t>
      </w:r>
    </w:p>
    <w:p>
      <w:pPr>
        <w:spacing w:line="600" w:lineRule="exact"/>
        <w:ind w:firstLine="642" w:firstLineChars="200"/>
        <w:rPr>
          <w:rFonts w:hint="eastAsia" w:ascii="仿宋_GB2312" w:eastAsia="仿宋_GB2312" w:hAnsiTheme="minorHAnsi" w:cstheme="minorBidi"/>
          <w:kern w:val="2"/>
          <w:sz w:val="32"/>
          <w:szCs w:val="32"/>
          <w:lang w:val="en-US" w:eastAsia="zh-CN" w:bidi="ar-SA"/>
        </w:rPr>
      </w:pPr>
      <w:r>
        <w:rPr>
          <w:rStyle w:val="20"/>
          <w:rFonts w:hint="eastAsia" w:ascii="仿宋" w:hAnsi="仿宋" w:eastAsia="仿宋"/>
          <w:bCs/>
          <w:color w:val="000000"/>
          <w:sz w:val="32"/>
          <w:szCs w:val="32"/>
          <w:lang w:val="en-US" w:eastAsia="zh-CN"/>
        </w:rPr>
        <w:t>5.</w:t>
      </w:r>
      <w:r>
        <w:rPr>
          <w:rStyle w:val="20"/>
          <w:rFonts w:hint="eastAsia" w:ascii="仿宋" w:hAnsi="仿宋" w:eastAsia="仿宋"/>
          <w:bCs/>
          <w:color w:val="000000"/>
          <w:sz w:val="32"/>
          <w:szCs w:val="32"/>
        </w:rPr>
        <w:t>社会保障和就业（类）</w:t>
      </w:r>
      <w:r>
        <w:rPr>
          <w:rStyle w:val="20"/>
          <w:rFonts w:hint="eastAsia" w:ascii="仿宋" w:hAnsi="仿宋" w:eastAsia="仿宋"/>
          <w:bCs/>
          <w:color w:val="000000"/>
          <w:sz w:val="32"/>
          <w:szCs w:val="32"/>
          <w:lang w:val="en-US" w:eastAsia="zh-CN"/>
        </w:rPr>
        <w:t>208</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eastAsia="zh-CN"/>
        </w:rPr>
        <w:t>）</w:t>
      </w:r>
      <w:r>
        <w:rPr>
          <w:rStyle w:val="20"/>
          <w:rFonts w:hint="eastAsia" w:ascii="仿宋" w:hAnsi="仿宋" w:eastAsia="仿宋"/>
          <w:bCs/>
          <w:color w:val="000000"/>
          <w:sz w:val="32"/>
          <w:szCs w:val="32"/>
          <w:lang w:val="en-US" w:eastAsia="zh-CN"/>
        </w:rPr>
        <w:t>05</w:t>
      </w:r>
      <w:r>
        <w:rPr>
          <w:rStyle w:val="20"/>
          <w:rFonts w:hint="eastAsia" w:ascii="仿宋" w:hAnsi="仿宋" w:eastAsia="仿宋"/>
          <w:bCs/>
          <w:color w:val="000000"/>
          <w:sz w:val="32"/>
          <w:szCs w:val="32"/>
        </w:rPr>
        <w:t>（项）</w:t>
      </w:r>
      <w:r>
        <w:rPr>
          <w:rStyle w:val="20"/>
          <w:rFonts w:hint="eastAsia" w:ascii="仿宋" w:hAnsi="仿宋" w:eastAsia="仿宋"/>
          <w:bCs/>
          <w:color w:val="000000"/>
          <w:sz w:val="32"/>
          <w:szCs w:val="32"/>
          <w:lang w:val="en-US" w:eastAsia="zh-CN"/>
        </w:rPr>
        <w:t>06——机关事业单位职业年金缴费支出</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w:t>
      </w:r>
      <w:r>
        <w:rPr>
          <w:rFonts w:hint="eastAsia" w:ascii="仿宋_GB2312" w:eastAsia="仿宋_GB2312" w:hAnsiTheme="minorHAnsi" w:cstheme="minorBidi"/>
          <w:kern w:val="2"/>
          <w:sz w:val="32"/>
          <w:szCs w:val="32"/>
          <w:lang w:val="en-US" w:eastAsia="zh-CN" w:bidi="ar-SA"/>
        </w:rPr>
        <w:t>出决算为21.62万元，完成预算100%，决算数等于预算。</w:t>
      </w:r>
    </w:p>
    <w:p>
      <w:pPr>
        <w:spacing w:line="600" w:lineRule="exact"/>
        <w:ind w:firstLine="642" w:firstLineChars="200"/>
        <w:rPr>
          <w:rFonts w:hint="eastAsia" w:ascii="仿宋_GB2312" w:eastAsia="仿宋_GB2312" w:hAnsiTheme="minorHAnsi" w:cstheme="minorBidi"/>
          <w:kern w:val="2"/>
          <w:sz w:val="32"/>
          <w:szCs w:val="32"/>
          <w:lang w:val="en-US" w:eastAsia="zh-CN" w:bidi="ar-SA"/>
        </w:rPr>
      </w:pPr>
      <w:r>
        <w:rPr>
          <w:rStyle w:val="20"/>
          <w:rFonts w:hint="eastAsia" w:ascii="仿宋" w:hAnsi="仿宋" w:eastAsia="仿宋"/>
          <w:bCs/>
          <w:color w:val="000000"/>
          <w:sz w:val="32"/>
          <w:szCs w:val="32"/>
          <w:lang w:val="en-US" w:eastAsia="zh-CN"/>
        </w:rPr>
        <w:t>6</w:t>
      </w:r>
      <w:r>
        <w:rPr>
          <w:rStyle w:val="20"/>
          <w:rFonts w:ascii="仿宋" w:hAnsi="仿宋" w:eastAsia="仿宋"/>
          <w:bCs/>
          <w:color w:val="000000"/>
          <w:sz w:val="32"/>
          <w:szCs w:val="32"/>
        </w:rPr>
        <w:t>.</w:t>
      </w:r>
      <w:r>
        <w:rPr>
          <w:rFonts w:hint="eastAsia" w:ascii="仿宋" w:hAnsi="仿宋" w:eastAsia="仿宋"/>
          <w:b/>
          <w:bCs/>
          <w:color w:val="000000"/>
          <w:sz w:val="32"/>
          <w:szCs w:val="32"/>
        </w:rPr>
        <w:t>卫生健康</w:t>
      </w:r>
      <w:r>
        <w:rPr>
          <w:rStyle w:val="20"/>
          <w:rFonts w:hint="eastAsia" w:ascii="仿宋" w:hAnsi="仿宋" w:eastAsia="仿宋"/>
          <w:bCs/>
          <w:color w:val="000000"/>
          <w:sz w:val="32"/>
          <w:szCs w:val="32"/>
        </w:rPr>
        <w:t>（类）</w:t>
      </w:r>
      <w:r>
        <w:rPr>
          <w:rStyle w:val="20"/>
          <w:rFonts w:hint="eastAsia" w:ascii="仿宋" w:hAnsi="仿宋" w:eastAsia="仿宋"/>
          <w:bCs/>
          <w:color w:val="000000"/>
          <w:sz w:val="32"/>
          <w:szCs w:val="32"/>
          <w:lang w:val="en-US" w:eastAsia="zh-CN"/>
        </w:rPr>
        <w:t>201</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11</w:t>
      </w:r>
      <w:r>
        <w:rPr>
          <w:rStyle w:val="20"/>
          <w:rFonts w:hint="eastAsia" w:ascii="仿宋" w:hAnsi="仿宋" w:eastAsia="仿宋"/>
          <w:bCs/>
          <w:color w:val="000000"/>
          <w:sz w:val="32"/>
          <w:szCs w:val="32"/>
        </w:rPr>
        <w:t>（项）</w:t>
      </w:r>
      <w:r>
        <w:rPr>
          <w:rStyle w:val="20"/>
          <w:rFonts w:hint="eastAsia" w:ascii="仿宋" w:hAnsi="仿宋" w:eastAsia="仿宋"/>
          <w:bCs/>
          <w:color w:val="000000"/>
          <w:sz w:val="32"/>
          <w:szCs w:val="32"/>
          <w:lang w:val="en-US" w:eastAsia="zh-CN"/>
        </w:rPr>
        <w:t>01——行政单位医疗</w:t>
      </w:r>
      <w:r>
        <w:rPr>
          <w:rStyle w:val="20"/>
          <w:rFonts w:ascii="仿宋" w:hAnsi="仿宋" w:eastAsia="仿宋"/>
          <w:bCs/>
          <w:color w:val="000000"/>
          <w:sz w:val="32"/>
          <w:szCs w:val="32"/>
        </w:rPr>
        <w:t>:</w:t>
      </w:r>
      <w:r>
        <w:rPr>
          <w:rFonts w:hint="eastAsia" w:ascii="仿宋_GB2312" w:eastAsia="仿宋_GB2312" w:hAnsiTheme="minorHAnsi" w:cstheme="minorBidi"/>
          <w:kern w:val="2"/>
          <w:sz w:val="32"/>
          <w:szCs w:val="32"/>
          <w:lang w:val="en-US" w:eastAsia="zh-CN" w:bidi="ar-SA"/>
        </w:rPr>
        <w:t>支出决算为21.39万元，完成预算100%，决算数等于预算数；</w:t>
      </w:r>
    </w:p>
    <w:p>
      <w:pPr>
        <w:spacing w:line="600" w:lineRule="exact"/>
        <w:ind w:firstLine="640" w:firstLineChars="200"/>
        <w:rPr>
          <w:rFonts w:hint="eastAsia" w:ascii="仿宋_GB2312" w:eastAsia="仿宋_GB2312" w:hAnsiTheme="minorHAnsi" w:cstheme="minorBidi"/>
          <w:kern w:val="2"/>
          <w:sz w:val="32"/>
          <w:szCs w:val="32"/>
          <w:lang w:val="en-US" w:eastAsia="zh-CN" w:bidi="ar-SA"/>
        </w:rPr>
      </w:pPr>
      <w:r>
        <w:rPr>
          <w:rStyle w:val="20"/>
          <w:rFonts w:hint="eastAsia" w:ascii="仿宋" w:hAnsi="仿宋" w:eastAsia="仿宋"/>
          <w:b w:val="0"/>
          <w:bCs/>
          <w:color w:val="000000"/>
          <w:sz w:val="32"/>
          <w:szCs w:val="32"/>
          <w:lang w:val="en-US" w:eastAsia="zh-CN"/>
        </w:rPr>
        <w:t>7.</w:t>
      </w:r>
      <w:r>
        <w:rPr>
          <w:rFonts w:hint="eastAsia" w:ascii="仿宋" w:hAnsi="仿宋" w:eastAsia="仿宋"/>
          <w:b/>
          <w:bCs/>
          <w:color w:val="000000"/>
          <w:sz w:val="32"/>
          <w:szCs w:val="32"/>
        </w:rPr>
        <w:t>卫生健康</w:t>
      </w:r>
      <w:r>
        <w:rPr>
          <w:rStyle w:val="20"/>
          <w:rFonts w:hint="eastAsia" w:ascii="仿宋" w:hAnsi="仿宋" w:eastAsia="仿宋"/>
          <w:bCs/>
          <w:color w:val="000000"/>
          <w:sz w:val="32"/>
          <w:szCs w:val="32"/>
        </w:rPr>
        <w:t>（类）</w:t>
      </w:r>
      <w:r>
        <w:rPr>
          <w:rStyle w:val="20"/>
          <w:rFonts w:hint="eastAsia" w:ascii="仿宋" w:hAnsi="仿宋" w:eastAsia="仿宋"/>
          <w:bCs/>
          <w:color w:val="000000"/>
          <w:sz w:val="32"/>
          <w:szCs w:val="32"/>
          <w:lang w:val="en-US" w:eastAsia="zh-CN"/>
        </w:rPr>
        <w:t>201</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11</w:t>
      </w:r>
      <w:r>
        <w:rPr>
          <w:rStyle w:val="20"/>
          <w:rFonts w:hint="eastAsia" w:ascii="仿宋" w:hAnsi="仿宋" w:eastAsia="仿宋"/>
          <w:bCs/>
          <w:color w:val="000000"/>
          <w:sz w:val="32"/>
          <w:szCs w:val="32"/>
        </w:rPr>
        <w:t>（项）</w:t>
      </w:r>
      <w:r>
        <w:rPr>
          <w:rStyle w:val="20"/>
          <w:rFonts w:hint="eastAsia" w:ascii="仿宋" w:hAnsi="仿宋" w:eastAsia="仿宋"/>
          <w:bCs/>
          <w:color w:val="000000"/>
          <w:sz w:val="32"/>
          <w:szCs w:val="32"/>
          <w:lang w:val="en-US" w:eastAsia="zh-CN"/>
        </w:rPr>
        <w:t>03——公务员医疗补助，</w:t>
      </w:r>
      <w:r>
        <w:rPr>
          <w:rFonts w:hint="eastAsia" w:ascii="仿宋_GB2312" w:eastAsia="仿宋_GB2312" w:hAnsiTheme="minorHAnsi" w:cstheme="minorBidi"/>
          <w:kern w:val="2"/>
          <w:sz w:val="32"/>
          <w:szCs w:val="32"/>
          <w:lang w:val="en-US" w:eastAsia="zh-CN" w:bidi="ar-SA"/>
        </w:rPr>
        <w:t>支出决算为8.53万元，完成预算100%，决算数等于预算数。</w:t>
      </w:r>
    </w:p>
    <w:p>
      <w:pPr>
        <w:keepNext w:val="0"/>
        <w:keepLines w:val="0"/>
        <w:pageBreakBefore w:val="0"/>
        <w:widowControl w:val="0"/>
        <w:kinsoku/>
        <w:wordWrap/>
        <w:overflowPunct/>
        <w:topLinePunct w:val="0"/>
        <w:bidi w:val="0"/>
        <w:snapToGrid/>
        <w:spacing w:line="600" w:lineRule="exact"/>
        <w:ind w:firstLine="642" w:firstLineChars="200"/>
        <w:textAlignment w:val="auto"/>
        <w:rPr>
          <w:rFonts w:hint="eastAsia" w:ascii="仿宋_GB2312" w:eastAsia="仿宋_GB2312" w:hAnsiTheme="minorHAnsi" w:cstheme="minorBidi"/>
          <w:kern w:val="2"/>
          <w:sz w:val="32"/>
          <w:szCs w:val="32"/>
          <w:lang w:val="en-US" w:eastAsia="zh-CN" w:bidi="ar-SA"/>
        </w:rPr>
      </w:pPr>
      <w:r>
        <w:rPr>
          <w:rStyle w:val="20"/>
          <w:rFonts w:hint="eastAsia" w:ascii="仿宋" w:hAnsi="仿宋" w:eastAsia="仿宋"/>
          <w:bCs/>
          <w:color w:val="000000"/>
          <w:sz w:val="32"/>
          <w:szCs w:val="32"/>
          <w:lang w:val="en-US" w:eastAsia="zh-CN"/>
        </w:rPr>
        <w:t>8</w:t>
      </w:r>
      <w:r>
        <w:rPr>
          <w:rStyle w:val="20"/>
          <w:rFonts w:ascii="仿宋" w:hAnsi="仿宋" w:eastAsia="仿宋"/>
          <w:bCs/>
          <w:color w:val="000000"/>
          <w:sz w:val="32"/>
          <w:szCs w:val="32"/>
        </w:rPr>
        <w:t>.</w:t>
      </w:r>
      <w:r>
        <w:rPr>
          <w:rFonts w:hint="eastAsia" w:ascii="仿宋" w:hAnsi="仿宋" w:eastAsia="仿宋"/>
          <w:b/>
          <w:bCs/>
          <w:color w:val="000000"/>
          <w:sz w:val="32"/>
          <w:szCs w:val="32"/>
          <w:lang w:eastAsia="zh-CN"/>
        </w:rPr>
        <w:t>住房保障</w:t>
      </w:r>
      <w:r>
        <w:rPr>
          <w:rStyle w:val="20"/>
          <w:rFonts w:hint="eastAsia" w:ascii="仿宋" w:hAnsi="仿宋" w:eastAsia="仿宋"/>
          <w:bCs/>
          <w:color w:val="000000"/>
          <w:sz w:val="32"/>
          <w:szCs w:val="32"/>
        </w:rPr>
        <w:t>（类）</w:t>
      </w:r>
      <w:r>
        <w:rPr>
          <w:rStyle w:val="20"/>
          <w:rFonts w:hint="eastAsia" w:ascii="仿宋" w:hAnsi="仿宋" w:eastAsia="仿宋"/>
          <w:bCs/>
          <w:color w:val="000000"/>
          <w:sz w:val="32"/>
          <w:szCs w:val="32"/>
          <w:lang w:val="en-US" w:eastAsia="zh-CN"/>
        </w:rPr>
        <w:t>221</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02</w:t>
      </w:r>
      <w:r>
        <w:rPr>
          <w:rStyle w:val="20"/>
          <w:rFonts w:hint="eastAsia" w:ascii="仿宋" w:hAnsi="仿宋" w:eastAsia="仿宋"/>
          <w:bCs/>
          <w:color w:val="000000"/>
          <w:sz w:val="32"/>
          <w:szCs w:val="32"/>
        </w:rPr>
        <w:t>（项）</w:t>
      </w:r>
      <w:r>
        <w:rPr>
          <w:rStyle w:val="20"/>
          <w:rFonts w:hint="eastAsia" w:ascii="仿宋" w:hAnsi="仿宋" w:eastAsia="仿宋"/>
          <w:bCs/>
          <w:color w:val="000000"/>
          <w:sz w:val="32"/>
          <w:szCs w:val="32"/>
          <w:lang w:val="en-US" w:eastAsia="zh-CN"/>
        </w:rPr>
        <w:t>01——住房公积金</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w:t>
      </w:r>
      <w:r>
        <w:rPr>
          <w:rFonts w:hint="eastAsia" w:ascii="仿宋_GB2312" w:eastAsia="仿宋_GB2312" w:hAnsiTheme="minorHAnsi" w:cstheme="minorBidi"/>
          <w:kern w:val="2"/>
          <w:sz w:val="32"/>
          <w:szCs w:val="32"/>
          <w:lang w:val="en-US" w:eastAsia="zh-CN" w:bidi="ar-SA"/>
        </w:rPr>
        <w:t>出决算为41.89万元，完成预算100%，决算数等于预算数；</w:t>
      </w:r>
    </w:p>
    <w:p>
      <w:pPr>
        <w:keepNext w:val="0"/>
        <w:keepLines w:val="0"/>
        <w:pageBreakBefore w:val="0"/>
        <w:widowControl w:val="0"/>
        <w:kinsoku/>
        <w:wordWrap/>
        <w:overflowPunct/>
        <w:topLinePunct w:val="0"/>
        <w:bidi w:val="0"/>
        <w:snapToGrid/>
        <w:spacing w:line="600" w:lineRule="exact"/>
        <w:ind w:firstLine="642" w:firstLineChars="200"/>
        <w:textAlignment w:val="auto"/>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w:t>
      </w:r>
      <w:r>
        <w:rPr>
          <w:rFonts w:hint="eastAsia" w:ascii="仿宋" w:eastAsia="仿宋"/>
          <w:b/>
          <w:sz w:val="32"/>
          <w:szCs w:val="32"/>
        </w:rPr>
        <w:t>1-1表和财决08表，仅罗列本部门涉及的全部功能分类科目，至项级。上述“预算”口径为调整预算数。增减变动原因为决算数</w:t>
      </w:r>
      <w:r>
        <w:rPr>
          <w:rFonts w:ascii="仿宋" w:eastAsia="仿宋"/>
          <w:b/>
          <w:sz w:val="32"/>
          <w:szCs w:val="32"/>
        </w:rPr>
        <w:t>&lt;</w:t>
      </w:r>
      <w:r>
        <w:rPr>
          <w:rFonts w:hint="eastAsia" w:ascii="仿宋" w:eastAsia="仿宋"/>
          <w:b/>
          <w:sz w:val="32"/>
          <w:szCs w:val="32"/>
        </w:rPr>
        <w:t>项级</w:t>
      </w:r>
      <w:r>
        <w:rPr>
          <w:rFonts w:ascii="仿宋" w:eastAsia="仿宋"/>
          <w:b/>
          <w:sz w:val="32"/>
          <w:szCs w:val="32"/>
        </w:rPr>
        <w:t>&gt;</w:t>
      </w:r>
      <w:r>
        <w:rPr>
          <w:rFonts w:hint="eastAsia" w:ascii="仿宋" w:eastAsia="仿宋"/>
          <w:b/>
          <w:sz w:val="32"/>
          <w:szCs w:val="32"/>
        </w:rPr>
        <w:t>和调整预算数</w:t>
      </w:r>
      <w:r>
        <w:rPr>
          <w:rFonts w:ascii="仿宋" w:eastAsia="仿宋"/>
          <w:b/>
          <w:sz w:val="32"/>
          <w:szCs w:val="32"/>
        </w:rPr>
        <w:t>&lt;</w:t>
      </w:r>
      <w:r>
        <w:rPr>
          <w:rFonts w:hint="eastAsia" w:ascii="仿宋" w:eastAsia="仿宋"/>
          <w:b/>
          <w:sz w:val="32"/>
          <w:szCs w:val="32"/>
        </w:rPr>
        <w:t>项级</w:t>
      </w:r>
      <w:r>
        <w:rPr>
          <w:rFonts w:ascii="仿宋" w:eastAsia="仿宋"/>
          <w:b/>
          <w:sz w:val="32"/>
          <w:szCs w:val="32"/>
        </w:rPr>
        <w:t>&gt;</w:t>
      </w:r>
      <w:r>
        <w:rPr>
          <w:rFonts w:hint="eastAsia" w:ascii="仿宋" w:eastAsia="仿宋"/>
          <w:b/>
          <w:sz w:val="32"/>
          <w:szCs w:val="32"/>
        </w:rPr>
        <w:t>比较，与预算数持平可以不写原因。）</w:t>
      </w:r>
    </w:p>
    <w:p>
      <w:pPr>
        <w:keepNext w:val="0"/>
        <w:keepLines w:val="0"/>
        <w:pageBreakBefore w:val="0"/>
        <w:widowControl w:val="0"/>
        <w:tabs>
          <w:tab w:val="right" w:pos="8306"/>
        </w:tabs>
        <w:kinsoku/>
        <w:wordWrap/>
        <w:overflowPunct/>
        <w:topLinePunct w:val="0"/>
        <w:bidi w:val="0"/>
        <w:snapToGrid/>
        <w:spacing w:line="600" w:lineRule="exact"/>
        <w:ind w:firstLine="640" w:firstLineChars="200"/>
        <w:textAlignment w:val="auto"/>
        <w:outlineLvl w:val="1"/>
        <w:rPr>
          <w:rStyle w:val="24"/>
        </w:rPr>
      </w:pPr>
      <w:bookmarkStart w:id="40" w:name="_Toc15377214"/>
      <w:bookmarkStart w:id="41" w:name="_Toc15396608"/>
      <w:r>
        <w:rPr>
          <w:rFonts w:hint="eastAsia" w:ascii="黑体" w:eastAsia="黑体"/>
          <w:sz w:val="32"/>
          <w:szCs w:val="32"/>
        </w:rPr>
        <w:t>六</w:t>
      </w:r>
      <w:r>
        <w:rPr>
          <w:rFonts w:hint="eastAsia" w:ascii="黑体" w:eastAsia="黑体"/>
          <w:b/>
          <w:sz w:val="32"/>
          <w:szCs w:val="32"/>
        </w:rPr>
        <w:t>、一</w:t>
      </w:r>
      <w:r>
        <w:rPr>
          <w:rStyle w:val="24"/>
          <w:rFonts w:hint="eastAsia" w:ascii="黑体" w:eastAsia="黑体"/>
          <w:b w:val="0"/>
        </w:rPr>
        <w:t>般公共预算财政拨款基本支出决算情况说明</w:t>
      </w:r>
      <w:bookmarkEnd w:id="40"/>
      <w:bookmarkEnd w:id="41"/>
      <w:r>
        <w:rPr>
          <w:rStyle w:val="24"/>
          <w:rFonts w:ascii="黑体" w:eastAsia="黑体"/>
          <w:b w:val="0"/>
        </w:rPr>
        <w:tab/>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2021年一般公共预算财政拨款基本支出751.73万元，其中：</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人员经费633.69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公用经费118.04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keepNext w:val="0"/>
        <w:keepLines w:val="0"/>
        <w:pageBreakBefore w:val="0"/>
        <w:widowControl w:val="0"/>
        <w:kinsoku/>
        <w:wordWrap/>
        <w:overflowPunct/>
        <w:topLinePunct w:val="0"/>
        <w:bidi w:val="0"/>
        <w:snapToGrid/>
        <w:spacing w:line="600" w:lineRule="exact"/>
        <w:ind w:firstLine="642" w:firstLineChars="200"/>
        <w:textAlignment w:val="auto"/>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w:t>
      </w:r>
      <w:r>
        <w:rPr>
          <w:rFonts w:hint="eastAsia" w:ascii="仿宋" w:eastAsia="仿宋"/>
          <w:b/>
          <w:sz w:val="32"/>
          <w:szCs w:val="32"/>
        </w:rPr>
        <w:t>7表和财决08-1表，仅罗列本部门实际支出涉及的经济分类科目。）</w:t>
      </w:r>
    </w:p>
    <w:p>
      <w:pPr>
        <w:keepNext w:val="0"/>
        <w:keepLines w:val="0"/>
        <w:pageBreakBefore w:val="0"/>
        <w:widowControl w:val="0"/>
        <w:kinsoku/>
        <w:wordWrap/>
        <w:overflowPunct/>
        <w:topLinePunct w:val="0"/>
        <w:bidi w:val="0"/>
        <w:snapToGrid/>
        <w:spacing w:line="600" w:lineRule="exact"/>
        <w:ind w:firstLine="642" w:firstLineChars="200"/>
        <w:textAlignment w:val="auto"/>
        <w:rPr>
          <w:rFonts w:ascii="仿宋" w:eastAsia="仿宋"/>
          <w:b/>
          <w:sz w:val="32"/>
          <w:szCs w:val="32"/>
        </w:rPr>
      </w:pPr>
    </w:p>
    <w:p>
      <w:pPr>
        <w:keepNext w:val="0"/>
        <w:keepLines w:val="0"/>
        <w:pageBreakBefore w:val="0"/>
        <w:widowControl w:val="0"/>
        <w:kinsoku/>
        <w:wordWrap/>
        <w:overflowPunct/>
        <w:topLinePunct w:val="0"/>
        <w:bidi w:val="0"/>
        <w:snapToGrid/>
        <w:spacing w:line="600" w:lineRule="exact"/>
        <w:ind w:firstLine="640" w:firstLineChars="200"/>
        <w:textAlignment w:val="auto"/>
        <w:outlineLvl w:val="1"/>
        <w:rPr>
          <w:rStyle w:val="24"/>
          <w:rFonts w:ascii="黑体" w:eastAsia="黑体"/>
          <w:b w:val="0"/>
        </w:rPr>
      </w:pPr>
      <w:bookmarkStart w:id="42" w:name="_Toc15377215"/>
      <w:bookmarkStart w:id="43" w:name="_Toc15396609"/>
      <w:r>
        <w:rPr>
          <w:rFonts w:hint="eastAsia" w:ascii="黑体" w:eastAsia="黑体"/>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42"/>
      <w:bookmarkEnd w:id="43"/>
    </w:p>
    <w:p>
      <w:pPr>
        <w:keepNext w:val="0"/>
        <w:keepLines w:val="0"/>
        <w:pageBreakBefore w:val="0"/>
        <w:widowControl w:val="0"/>
        <w:kinsoku/>
        <w:wordWrap/>
        <w:overflowPunct/>
        <w:topLinePunct w:val="0"/>
        <w:bidi w:val="0"/>
        <w:snapToGrid/>
        <w:spacing w:line="600" w:lineRule="exact"/>
        <w:ind w:firstLine="640" w:firstLineChars="200"/>
        <w:textAlignment w:val="auto"/>
        <w:outlineLvl w:val="2"/>
        <w:rPr>
          <w:rFonts w:hint="eastAsia" w:ascii="楷体_GB2312" w:hAnsi="Times New Roman" w:eastAsia="楷体_GB2312" w:cs="Times New Roman"/>
          <w:color w:val="000000"/>
          <w:kern w:val="0"/>
          <w:sz w:val="32"/>
          <w:szCs w:val="32"/>
          <w:lang w:val="en-US" w:eastAsia="zh-CN" w:bidi="ar-SA"/>
        </w:rPr>
      </w:pPr>
      <w:bookmarkStart w:id="44" w:name="_Toc15377216"/>
      <w:r>
        <w:rPr>
          <w:rFonts w:hint="eastAsia" w:ascii="楷体_GB2312" w:hAnsi="Times New Roman" w:eastAsia="楷体_GB2312" w:cs="Times New Roman"/>
          <w:color w:val="000000"/>
          <w:kern w:val="0"/>
          <w:sz w:val="32"/>
          <w:szCs w:val="32"/>
          <w:lang w:val="en-US" w:eastAsia="zh-CN" w:bidi="ar-SA"/>
        </w:rPr>
        <w:t>（一）“三公”经费财政拨款支出决算总体情况说明</w:t>
      </w:r>
      <w:bookmarkEnd w:id="44"/>
    </w:p>
    <w:p>
      <w:pPr>
        <w:keepNext w:val="0"/>
        <w:keepLines w:val="0"/>
        <w:pageBreakBefore w:val="0"/>
        <w:widowControl w:val="0"/>
        <w:kinsoku/>
        <w:wordWrap/>
        <w:overflowPunct/>
        <w:topLinePunct w:val="0"/>
        <w:bidi w:val="0"/>
        <w:snapToGrid/>
        <w:spacing w:line="600" w:lineRule="exact"/>
        <w:ind w:firstLine="640" w:firstLineChars="200"/>
        <w:textAlignment w:val="auto"/>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21年“三公”经费财政拨款支出决算为</w:t>
      </w:r>
      <w:r>
        <w:rPr>
          <w:rFonts w:hint="eastAsia" w:ascii="仿宋" w:eastAsia="仿宋"/>
          <w:sz w:val="32"/>
          <w:szCs w:val="32"/>
          <w:lang w:val="en-US" w:eastAsia="zh-CN"/>
        </w:rPr>
        <w:t>70.44</w:t>
      </w:r>
      <w:r>
        <w:rPr>
          <w:rFonts w:hint="eastAsia" w:ascii="仿宋" w:eastAsia="仿宋"/>
          <w:sz w:val="32"/>
          <w:szCs w:val="32"/>
        </w:rPr>
        <w:t>万元，完成预算</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w:t>
      </w:r>
    </w:p>
    <w:p>
      <w:pPr>
        <w:keepNext w:val="0"/>
        <w:keepLines w:val="0"/>
        <w:pageBreakBefore w:val="0"/>
        <w:widowControl w:val="0"/>
        <w:kinsoku/>
        <w:wordWrap/>
        <w:overflowPunct/>
        <w:topLinePunct w:val="0"/>
        <w:bidi w:val="0"/>
        <w:snapToGrid/>
        <w:spacing w:line="600" w:lineRule="exact"/>
        <w:ind w:firstLine="642" w:firstLineChars="200"/>
        <w:textAlignment w:val="auto"/>
        <w:rPr>
          <w:rFonts w:ascii="仿宋" w:eastAsia="仿宋"/>
          <w:b/>
          <w:sz w:val="32"/>
          <w:szCs w:val="32"/>
        </w:rPr>
      </w:pPr>
      <w:r>
        <w:rPr>
          <w:rFonts w:hint="eastAsia" w:ascii="仿宋" w:eastAsia="仿宋"/>
          <w:b/>
          <w:sz w:val="32"/>
          <w:szCs w:val="32"/>
        </w:rPr>
        <w:t>（注：上述“预算”口径为调整预算数。）</w:t>
      </w:r>
    </w:p>
    <w:p>
      <w:pPr>
        <w:keepNext w:val="0"/>
        <w:keepLines w:val="0"/>
        <w:pageBreakBefore w:val="0"/>
        <w:widowControl w:val="0"/>
        <w:kinsoku/>
        <w:wordWrap/>
        <w:overflowPunct/>
        <w:topLinePunct w:val="0"/>
        <w:bidi w:val="0"/>
        <w:snapToGrid/>
        <w:spacing w:line="600" w:lineRule="exact"/>
        <w:ind w:firstLine="642" w:firstLineChars="200"/>
        <w:textAlignment w:val="auto"/>
        <w:outlineLvl w:val="2"/>
        <w:rPr>
          <w:rFonts w:ascii="仿宋" w:eastAsia="仿宋"/>
          <w:b/>
          <w:sz w:val="32"/>
          <w:szCs w:val="32"/>
        </w:rPr>
      </w:pPr>
      <w:bookmarkStart w:id="45" w:name="_Toc15377217"/>
      <w:r>
        <w:rPr>
          <w:rFonts w:hint="eastAsia" w:ascii="仿宋" w:eastAsia="仿宋"/>
          <w:b/>
          <w:sz w:val="32"/>
          <w:szCs w:val="32"/>
        </w:rPr>
        <w:t>（二）“三公”经费财政拨款支出决算具体情况说明</w:t>
      </w:r>
      <w:bookmarkEnd w:id="45"/>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70.44</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pStyle w:val="14"/>
        <w:rPr>
          <w:rFonts w:hint="eastAsia" w:eastAsia="仿宋"/>
          <w:lang w:eastAsia="zh-CN"/>
        </w:rPr>
      </w:pPr>
      <w:r>
        <w:rPr>
          <w:rFonts w:hint="eastAsia" w:eastAsia="仿宋"/>
          <w:lang w:eastAsia="zh-CN"/>
        </w:rPr>
        <w:drawing>
          <wp:inline distT="0" distB="0" distL="114300" distR="114300">
            <wp:extent cx="5080000" cy="3810000"/>
            <wp:effectExtent l="4445" t="4445" r="20955" b="1460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bidi w:val="0"/>
        <w:snapToGrid/>
        <w:spacing w:line="600" w:lineRule="exact"/>
        <w:ind w:firstLine="640" w:firstLineChars="200"/>
        <w:textAlignment w:val="auto"/>
        <w:rPr>
          <w:rFonts w:ascii="仿宋" w:eastAsia="仿宋"/>
          <w:sz w:val="32"/>
          <w:szCs w:val="32"/>
        </w:rPr>
      </w:pPr>
      <w:r>
        <w:rPr>
          <w:rFonts w:hint="eastAsia" w:ascii="仿宋" w:eastAsia="仿宋"/>
          <w:sz w:val="32"/>
          <w:szCs w:val="32"/>
        </w:rPr>
        <w:t>（图7：“三公”经费财政拨款支出结构）（饼状图）</w:t>
      </w:r>
    </w:p>
    <w:p>
      <w:pPr>
        <w:keepNext w:val="0"/>
        <w:keepLines w:val="0"/>
        <w:pageBreakBefore w:val="0"/>
        <w:widowControl w:val="0"/>
        <w:kinsoku/>
        <w:wordWrap/>
        <w:overflowPunct/>
        <w:topLinePunct w:val="0"/>
        <w:bidi w:val="0"/>
        <w:snapToGrid/>
        <w:spacing w:line="600" w:lineRule="exact"/>
        <w:ind w:firstLine="642" w:firstLineChars="200"/>
        <w:textAlignment w:val="auto"/>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keepNext w:val="0"/>
        <w:keepLines w:val="0"/>
        <w:pageBreakBefore w:val="0"/>
        <w:widowControl w:val="0"/>
        <w:kinsoku/>
        <w:wordWrap/>
        <w:overflowPunct/>
        <w:topLinePunct w:val="0"/>
        <w:bidi w:val="0"/>
        <w:snapToGrid/>
        <w:spacing w:line="600" w:lineRule="exact"/>
        <w:ind w:firstLine="642" w:firstLineChars="200"/>
        <w:textAlignment w:val="auto"/>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70.44</w:t>
      </w:r>
      <w:r>
        <w:rPr>
          <w:rFonts w:hint="eastAsia" w:ascii="仿宋_GB2312" w:eastAsia="仿宋_GB2312"/>
          <w:sz w:val="32"/>
          <w:szCs w:val="32"/>
        </w:rPr>
        <w:t>万元,</w:t>
      </w:r>
      <w:r>
        <w:rPr>
          <w:rStyle w:val="20"/>
          <w:rFonts w:hint="eastAsia" w:ascii="仿宋" w:eastAsia="仿宋"/>
          <w:b w:val="0"/>
          <w:bCs/>
          <w:sz w:val="32"/>
          <w:szCs w:val="32"/>
        </w:rPr>
        <w:t>完成预算</w:t>
      </w:r>
      <w:r>
        <w:rPr>
          <w:rStyle w:val="20"/>
          <w:rFonts w:hint="eastAsia" w:ascii="仿宋" w:eastAsia="仿宋"/>
          <w:b w:val="0"/>
          <w:bCs/>
          <w:sz w:val="32"/>
          <w:szCs w:val="32"/>
          <w:lang w:val="en-US" w:eastAsia="zh-CN"/>
        </w:rPr>
        <w:t>100</w:t>
      </w:r>
      <w:r>
        <w:rPr>
          <w:rStyle w:val="20"/>
          <w:rFonts w:ascii="仿宋" w:eastAsia="仿宋"/>
          <w:b w:val="0"/>
          <w:bCs/>
          <w:sz w:val="32"/>
          <w:szCs w:val="32"/>
        </w:rPr>
        <w:t>%</w:t>
      </w:r>
      <w:r>
        <w:rPr>
          <w:rStyle w:val="20"/>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20年增加</w:t>
      </w:r>
      <w:r>
        <w:rPr>
          <w:rFonts w:hint="eastAsia" w:ascii="仿宋_GB2312" w:eastAsia="仿宋_GB2312"/>
          <w:sz w:val="32"/>
          <w:szCs w:val="32"/>
          <w:lang w:val="en-US" w:eastAsia="zh-CN"/>
        </w:rPr>
        <w:t>58.92</w:t>
      </w:r>
      <w:r>
        <w:rPr>
          <w:rFonts w:hint="eastAsia" w:ascii="仿宋_GB2312" w:eastAsia="仿宋_GB2312"/>
          <w:sz w:val="32"/>
          <w:szCs w:val="32"/>
        </w:rPr>
        <w:t>万元，增长</w:t>
      </w:r>
      <w:r>
        <w:rPr>
          <w:rFonts w:hint="eastAsia" w:ascii="仿宋_GB2312" w:eastAsia="仿宋_GB2312"/>
          <w:sz w:val="32"/>
          <w:szCs w:val="32"/>
          <w:lang w:val="en-US" w:eastAsia="zh-CN"/>
        </w:rPr>
        <w:t>511.46</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今年新购进一辆公务用车价值59.6万元</w:t>
      </w:r>
      <w:r>
        <w:rPr>
          <w:rFonts w:hint="eastAsia" w:ascii="仿宋_GB2312" w:eastAsia="仿宋_GB2312"/>
          <w:sz w:val="32"/>
          <w:szCs w:val="32"/>
        </w:rPr>
        <w:t>。</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59.6</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1</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1</w:t>
      </w:r>
      <w:r>
        <w:rPr>
          <w:rFonts w:hint="eastAsia" w:ascii="仿宋_GB2312" w:eastAsia="仿宋_GB2312"/>
          <w:sz w:val="32"/>
          <w:szCs w:val="32"/>
        </w:rPr>
        <w:t>辆、金额</w:t>
      </w:r>
      <w:r>
        <w:rPr>
          <w:rFonts w:hint="eastAsia" w:ascii="仿宋_GB2312" w:eastAsia="仿宋_GB2312"/>
          <w:sz w:val="32"/>
          <w:szCs w:val="32"/>
          <w:lang w:val="en-US" w:eastAsia="zh-CN"/>
        </w:rPr>
        <w:t>59.6</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万元，主要用于</w:t>
      </w:r>
      <w:r>
        <w:rPr>
          <w:rFonts w:hint="eastAsia" w:ascii="仿宋_GB2312" w:eastAsia="仿宋_GB2312"/>
          <w:sz w:val="32"/>
          <w:szCs w:val="32"/>
          <w:lang w:val="en-US" w:eastAsia="zh-CN"/>
        </w:rPr>
        <w:t>应急保障用车</w:t>
      </w: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月底，单位共有公务用车</w:t>
      </w:r>
      <w:r>
        <w:rPr>
          <w:rFonts w:hint="eastAsia" w:ascii="仿宋_GB2312" w:eastAsia="仿宋_GB2312"/>
          <w:sz w:val="32"/>
          <w:szCs w:val="32"/>
          <w:lang w:val="en-US" w:eastAsia="zh-CN"/>
        </w:rPr>
        <w:t>2</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2</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pPr>
        <w:keepNext w:val="0"/>
        <w:keepLines w:val="0"/>
        <w:pageBreakBefore w:val="0"/>
        <w:widowControl w:val="0"/>
        <w:kinsoku/>
        <w:wordWrap/>
        <w:overflowPunct/>
        <w:topLinePunct w:val="0"/>
        <w:bidi w:val="0"/>
        <w:snapToGrid/>
        <w:spacing w:line="600" w:lineRule="exact"/>
        <w:ind w:firstLine="642" w:firstLineChars="200"/>
        <w:textAlignment w:val="auto"/>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10.84</w:t>
      </w:r>
      <w:r>
        <w:rPr>
          <w:rFonts w:hint="eastAsia" w:ascii="仿宋_GB2312" w:eastAsia="仿宋_GB2312"/>
          <w:sz w:val="32"/>
          <w:szCs w:val="32"/>
        </w:rPr>
        <w:t>万元。</w:t>
      </w:r>
      <w:r>
        <w:rPr>
          <w:rFonts w:hint="eastAsia" w:ascii="仿宋_GB2312" w:eastAsia="仿宋_GB2312"/>
          <w:color w:val="000000"/>
          <w:sz w:val="32"/>
          <w:szCs w:val="32"/>
        </w:rPr>
        <w:t>主</w:t>
      </w:r>
      <w:r>
        <w:rPr>
          <w:rFonts w:hint="eastAsia" w:ascii="仿宋_GB2312" w:hAnsi="Times New Roman" w:eastAsia="仿宋_GB2312" w:cs="Times New Roman"/>
          <w:color w:val="000000"/>
          <w:kern w:val="2"/>
          <w:sz w:val="32"/>
          <w:szCs w:val="32"/>
          <w:lang w:val="en-US" w:eastAsia="zh-CN" w:bidi="ar-SA"/>
        </w:rPr>
        <w:t>要用于主要用于开展档案业务</w:t>
      </w:r>
      <w:r>
        <w:rPr>
          <w:rFonts w:hint="eastAsia" w:ascii="仿宋_GB2312" w:eastAsia="仿宋_GB2312"/>
          <w:sz w:val="32"/>
          <w:szCs w:val="32"/>
        </w:rPr>
        <w:t>等所需的公务用车燃料费、维修费、过路过桥费、保险费等支出。</w:t>
      </w:r>
    </w:p>
    <w:p>
      <w:pPr>
        <w:keepNext w:val="0"/>
        <w:keepLines w:val="0"/>
        <w:pageBreakBefore w:val="0"/>
        <w:widowControl w:val="0"/>
        <w:kinsoku/>
        <w:wordWrap/>
        <w:overflowPunct/>
        <w:topLinePunct w:val="0"/>
        <w:bidi w:val="0"/>
        <w:snapToGrid/>
        <w:spacing w:line="600" w:lineRule="exact"/>
        <w:ind w:firstLine="642" w:firstLineChars="200"/>
        <w:textAlignment w:val="auto"/>
        <w:rPr>
          <w:rFonts w:ascii="黑体" w:eastAsia="黑体"/>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20年减少</w:t>
      </w:r>
      <w:r>
        <w:rPr>
          <w:rFonts w:hint="eastAsia" w:ascii="仿宋_GB2312" w:eastAsia="仿宋_GB2312"/>
          <w:sz w:val="32"/>
          <w:szCs w:val="32"/>
          <w:lang w:val="en-US" w:eastAsia="zh-CN"/>
        </w:rPr>
        <w:t>0.9</w:t>
      </w:r>
      <w:r>
        <w:rPr>
          <w:rFonts w:hint="eastAsia" w:ascii="仿宋_GB2312" w:eastAsia="仿宋_GB2312"/>
          <w:sz w:val="32"/>
          <w:szCs w:val="32"/>
        </w:rPr>
        <w:t>万元，下降</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。主要原因是本年度受疫情影响，</w:t>
      </w:r>
      <w:r>
        <w:rPr>
          <w:rFonts w:hint="eastAsia" w:ascii="仿宋_GB2312" w:eastAsia="仿宋_GB2312"/>
          <w:sz w:val="32"/>
          <w:szCs w:val="32"/>
          <w:lang w:val="en-US" w:eastAsia="zh-CN"/>
        </w:rPr>
        <w:t>且</w:t>
      </w:r>
      <w:r>
        <w:rPr>
          <w:rFonts w:hint="eastAsia" w:ascii="仿宋_GB2312" w:eastAsia="仿宋_GB2312"/>
          <w:sz w:val="32"/>
          <w:szCs w:val="32"/>
        </w:rPr>
        <w:t>单位严格按照疫情防控要求，减少公务接待，</w:t>
      </w:r>
      <w:r>
        <w:rPr>
          <w:rFonts w:hint="eastAsia" w:ascii="仿宋_GB2312" w:eastAsia="仿宋_GB2312"/>
          <w:sz w:val="32"/>
          <w:szCs w:val="32"/>
          <w:lang w:val="en-US" w:eastAsia="zh-CN"/>
        </w:rPr>
        <w:t>故</w:t>
      </w:r>
      <w:r>
        <w:rPr>
          <w:rFonts w:hint="eastAsia" w:ascii="仿宋_GB2312" w:eastAsia="仿宋_GB2312"/>
          <w:sz w:val="32"/>
          <w:szCs w:val="32"/>
        </w:rPr>
        <w:t>较去年减少。</w:t>
      </w:r>
      <w:bookmarkStart w:id="46" w:name="_Toc15396610"/>
      <w:bookmarkStart w:id="47" w:name="_Toc15377218"/>
    </w:p>
    <w:p>
      <w:pPr>
        <w:keepNext w:val="0"/>
        <w:keepLines w:val="0"/>
        <w:pageBreakBefore w:val="0"/>
        <w:widowControl w:val="0"/>
        <w:kinsoku/>
        <w:wordWrap/>
        <w:overflowPunct/>
        <w:topLinePunct w:val="0"/>
        <w:bidi w:val="0"/>
        <w:snapToGrid/>
        <w:spacing w:line="600" w:lineRule="exact"/>
        <w:ind w:firstLine="640" w:firstLineChars="200"/>
        <w:textAlignment w:val="auto"/>
        <w:outlineLvl w:val="1"/>
        <w:rPr>
          <w:rStyle w:val="24"/>
          <w:rFonts w:ascii="黑体" w:eastAsia="黑体"/>
        </w:rPr>
      </w:pPr>
      <w:r>
        <w:rPr>
          <w:rFonts w:hint="eastAsia" w:ascii="黑体" w:eastAsia="黑体"/>
          <w:sz w:val="32"/>
          <w:szCs w:val="32"/>
        </w:rPr>
        <w:t>八、</w:t>
      </w:r>
      <w:r>
        <w:rPr>
          <w:rStyle w:val="24"/>
          <w:rFonts w:hint="eastAsia" w:ascii="黑体" w:eastAsia="黑体"/>
          <w:b w:val="0"/>
        </w:rPr>
        <w:t>政府性基金预算支出决算情况说明</w:t>
      </w:r>
      <w:bookmarkEnd w:id="46"/>
      <w:bookmarkEnd w:id="47"/>
    </w:p>
    <w:p>
      <w:pPr>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outlineLvl w:val="1"/>
        <w:rPr>
          <w:rStyle w:val="24"/>
          <w:rFonts w:ascii="黑体" w:eastAsia="黑体"/>
          <w:b w:val="0"/>
        </w:rPr>
      </w:pPr>
      <w:bookmarkStart w:id="48" w:name="_Toc15377219"/>
      <w:bookmarkStart w:id="49" w:name="_Toc15396611"/>
      <w:r>
        <w:rPr>
          <w:rStyle w:val="24"/>
          <w:rFonts w:hint="eastAsia" w:ascii="黑体" w:eastAsia="黑体"/>
          <w:b w:val="0"/>
        </w:rPr>
        <w:t>国有资本经营预算支出决算情况说明</w:t>
      </w:r>
      <w:bookmarkEnd w:id="48"/>
      <w:bookmarkEnd w:id="49"/>
    </w:p>
    <w:p>
      <w:pPr>
        <w:keepNext w:val="0"/>
        <w:keepLines w:val="0"/>
        <w:pageBreakBefore w:val="0"/>
        <w:widowControl w:val="0"/>
        <w:kinsoku/>
        <w:wordWrap/>
        <w:overflowPunct/>
        <w:topLinePunct w:val="0"/>
        <w:bidi w:val="0"/>
        <w:snapToGrid/>
        <w:spacing w:line="600" w:lineRule="exact"/>
        <w:ind w:firstLine="640" w:firstLineChars="200"/>
        <w:textAlignment w:val="auto"/>
        <w:rPr>
          <w:rFonts w:asci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21年国有资本经营预算财政拨款支出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outlineLvl w:val="1"/>
        <w:rPr>
          <w:rStyle w:val="24"/>
          <w:rFonts w:ascii="黑体" w:eastAsia="黑体"/>
          <w:b w:val="0"/>
        </w:rPr>
      </w:pPr>
      <w:bookmarkStart w:id="50" w:name="_Toc15396612"/>
      <w:bookmarkStart w:id="51" w:name="_Toc15377221"/>
      <w:r>
        <w:rPr>
          <w:rStyle w:val="24"/>
          <w:rFonts w:hint="eastAsia" w:ascii="黑体" w:eastAsia="黑体"/>
          <w:b w:val="0"/>
        </w:rPr>
        <w:t>其他重要事项的情况说明</w:t>
      </w:r>
      <w:bookmarkEnd w:id="50"/>
      <w:bookmarkEnd w:id="51"/>
    </w:p>
    <w:p>
      <w:pPr>
        <w:keepNext w:val="0"/>
        <w:keepLines w:val="0"/>
        <w:pageBreakBefore w:val="0"/>
        <w:widowControl w:val="0"/>
        <w:kinsoku/>
        <w:wordWrap/>
        <w:overflowPunct/>
        <w:topLinePunct w:val="0"/>
        <w:bidi w:val="0"/>
        <w:snapToGrid/>
        <w:spacing w:line="600" w:lineRule="exact"/>
        <w:ind w:firstLine="642" w:firstLineChars="200"/>
        <w:textAlignment w:val="auto"/>
        <w:outlineLvl w:val="2"/>
        <w:rPr>
          <w:rFonts w:ascii="仿宋" w:eastAsia="仿宋"/>
          <w:sz w:val="32"/>
          <w:szCs w:val="32"/>
        </w:rPr>
      </w:pPr>
      <w:bookmarkStart w:id="52" w:name="_Toc15377222"/>
      <w:r>
        <w:rPr>
          <w:rFonts w:hint="eastAsia" w:ascii="仿宋" w:eastAsia="仿宋"/>
          <w:b/>
          <w:sz w:val="32"/>
          <w:szCs w:val="32"/>
        </w:rPr>
        <w:t>（一）机关运行经费支出情况</w:t>
      </w:r>
      <w:bookmarkEnd w:id="52"/>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21年，机关运行经费支出</w:t>
      </w:r>
      <w:r>
        <w:rPr>
          <w:rFonts w:hint="eastAsia" w:ascii="仿宋_GB2312" w:eastAsia="仿宋_GB2312"/>
          <w:sz w:val="32"/>
          <w:szCs w:val="32"/>
          <w:lang w:val="en-US" w:eastAsia="zh-CN"/>
        </w:rPr>
        <w:t>118.05</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20年</w:t>
      </w:r>
      <w:r>
        <w:rPr>
          <w:rFonts w:hint="eastAsia" w:ascii="仿宋_GB2312" w:eastAsia="仿宋_GB2312"/>
          <w:sz w:val="32"/>
          <w:szCs w:val="32"/>
          <w:lang w:val="en-US" w:eastAsia="zh-CN"/>
        </w:rPr>
        <w:t>增长56.69</w:t>
      </w:r>
      <w:r>
        <w:rPr>
          <w:rFonts w:hint="eastAsia" w:ascii="仿宋_GB2312" w:eastAsia="仿宋_GB2312"/>
          <w:sz w:val="32"/>
          <w:szCs w:val="32"/>
        </w:rPr>
        <w:t>万元，</w:t>
      </w:r>
      <w:r>
        <w:rPr>
          <w:rFonts w:hint="eastAsia" w:ascii="仿宋_GB2312" w:eastAsia="仿宋_GB2312"/>
          <w:sz w:val="32"/>
          <w:szCs w:val="32"/>
          <w:lang w:val="en-US" w:eastAsia="zh-CN"/>
        </w:rPr>
        <w:t>增长92.39</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我单位新购进一辆公务用车59.6万元。</w:t>
      </w:r>
    </w:p>
    <w:p>
      <w:pPr>
        <w:keepNext w:val="0"/>
        <w:keepLines w:val="0"/>
        <w:pageBreakBefore w:val="0"/>
        <w:widowControl w:val="0"/>
        <w:kinsoku/>
        <w:wordWrap/>
        <w:overflowPunct/>
        <w:topLinePunct w:val="0"/>
        <w:bidi w:val="0"/>
        <w:snapToGrid/>
        <w:spacing w:line="600" w:lineRule="exact"/>
        <w:ind w:firstLine="642" w:firstLineChars="200"/>
        <w:textAlignment w:val="auto"/>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2" w:firstLineChars="200"/>
        <w:jc w:val="left"/>
        <w:textAlignment w:val="auto"/>
        <w:outlineLvl w:val="2"/>
        <w:rPr>
          <w:rFonts w:ascii="仿宋" w:eastAsia="仿宋"/>
          <w:b/>
          <w:sz w:val="32"/>
          <w:szCs w:val="32"/>
        </w:rPr>
      </w:pPr>
      <w:bookmarkStart w:id="53" w:name="_Toc15377223"/>
      <w:r>
        <w:rPr>
          <w:rFonts w:hint="eastAsia" w:ascii="仿宋" w:eastAsia="仿宋"/>
          <w:b/>
          <w:sz w:val="32"/>
          <w:szCs w:val="32"/>
        </w:rPr>
        <w:t>（二）政府采购支出情况</w:t>
      </w:r>
      <w:bookmarkEnd w:id="53"/>
    </w:p>
    <w:p>
      <w:pPr>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21年，政府采购支出总额</w:t>
      </w:r>
      <w:r>
        <w:rPr>
          <w:rFonts w:hint="eastAsia" w:ascii="仿宋_GB2312" w:eastAsia="仿宋_GB2312"/>
          <w:sz w:val="32"/>
          <w:szCs w:val="32"/>
          <w:lang w:val="en-US" w:eastAsia="zh-CN"/>
        </w:rPr>
        <w:t>85.11</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85.11</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万元。主要用于</w:t>
      </w:r>
      <w:r>
        <w:rPr>
          <w:rFonts w:hint="eastAsia" w:ascii="仿宋_GB2312" w:eastAsia="仿宋_GB2312"/>
          <w:sz w:val="32"/>
          <w:szCs w:val="32"/>
          <w:lang w:val="en-US" w:eastAsia="zh-CN"/>
        </w:rPr>
        <w:t>公务用车购置和档案库房空调购置</w:t>
      </w:r>
      <w:r>
        <w:rPr>
          <w:rFonts w:hint="eastAsia" w:ascii="仿宋_GB2312" w:eastAsia="仿宋_GB2312"/>
          <w:sz w:val="32"/>
          <w:szCs w:val="32"/>
        </w:rPr>
        <w:t>。其中</w:t>
      </w:r>
      <w:r>
        <w:rPr>
          <w:rFonts w:hint="eastAsia" w:ascii="仿宋_GB2312" w:eastAsia="仿宋_GB2312"/>
          <w:sz w:val="32"/>
          <w:szCs w:val="32"/>
          <w:lang w:val="en-US" w:eastAsia="zh-CN"/>
        </w:rPr>
        <w:t>;</w:t>
      </w:r>
      <w:r>
        <w:rPr>
          <w:rFonts w:hint="eastAsia" w:ascii="仿宋_GB2312" w:eastAsia="仿宋_GB2312"/>
          <w:sz w:val="32"/>
          <w:szCs w:val="32"/>
        </w:rPr>
        <w:t>授予中小企业合同金额</w:t>
      </w:r>
      <w:r>
        <w:rPr>
          <w:rFonts w:hint="eastAsia" w:ascii="仿宋_GB2312" w:eastAsia="仿宋_GB2312"/>
          <w:sz w:val="32"/>
          <w:szCs w:val="32"/>
          <w:lang w:val="en-US" w:eastAsia="zh-CN"/>
        </w:rPr>
        <w:t>85.11</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w:t>
      </w:r>
    </w:p>
    <w:p>
      <w:pPr>
        <w:spacing w:line="600" w:lineRule="exact"/>
        <w:ind w:firstLine="642" w:firstLineChars="200"/>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autoSpaceDE w:val="0"/>
        <w:autoSpaceDN w:val="0"/>
        <w:adjustRightInd w:val="0"/>
        <w:spacing w:line="600" w:lineRule="exact"/>
        <w:ind w:firstLine="642" w:firstLineChars="200"/>
        <w:jc w:val="left"/>
        <w:outlineLvl w:val="2"/>
        <w:rPr>
          <w:rFonts w:ascii="仿宋" w:eastAsia="仿宋"/>
          <w:b/>
          <w:sz w:val="32"/>
          <w:szCs w:val="32"/>
        </w:rPr>
      </w:pPr>
      <w:bookmarkStart w:id="54" w:name="_Toc15377224"/>
      <w:r>
        <w:rPr>
          <w:rFonts w:hint="eastAsia" w:ascii="仿宋" w:eastAsia="仿宋"/>
          <w:b/>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val="en-US" w:eastAsia="zh-CN"/>
        </w:rPr>
        <w:t>阿坝州档案馆</w:t>
      </w:r>
      <w:r>
        <w:rPr>
          <w:rFonts w:hint="eastAsia" w:ascii="仿宋_GB2312" w:eastAsia="仿宋_GB2312"/>
          <w:sz w:val="32"/>
          <w:szCs w:val="32"/>
        </w:rPr>
        <w:t>共有车辆</w:t>
      </w:r>
      <w:r>
        <w:rPr>
          <w:rFonts w:hint="eastAsia" w:ascii="仿宋_GB2312" w:eastAsia="仿宋_GB2312"/>
          <w:sz w:val="32"/>
          <w:szCs w:val="32"/>
          <w:lang w:val="en-US" w:eastAsia="zh-CN"/>
        </w:rPr>
        <w:t>0</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2</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eastAsia="仿宋_GB2312"/>
          <w:sz w:val="32"/>
          <w:szCs w:val="32"/>
          <w:lang w:eastAsia="zh-CN"/>
        </w:rPr>
        <w:t>，</w:t>
      </w:r>
      <w:r>
        <w:rPr>
          <w:rFonts w:hint="eastAsia" w:ascii="仿宋_GB2312" w:eastAsia="仿宋_GB2312"/>
          <w:sz w:val="32"/>
          <w:szCs w:val="32"/>
        </w:rPr>
        <w:t>单价</w:t>
      </w:r>
      <w:r>
        <w:rPr>
          <w:rFonts w:ascii="仿宋_GB2312" w:eastAsia="仿宋_GB2312"/>
          <w:sz w:val="32"/>
          <w:szCs w:val="32"/>
        </w:rPr>
        <w:t>50</w:t>
      </w:r>
      <w:r>
        <w:rPr>
          <w:rFonts w:hint="eastAsia" w:ascii="仿宋_GB2312" w:eastAsia="仿宋_GB2312"/>
          <w:sz w:val="32"/>
          <w:szCs w:val="32"/>
        </w:rPr>
        <w:t>万元以上通用设备</w:t>
      </w:r>
      <w:r>
        <w:rPr>
          <w:rFonts w:hint="eastAsia" w:ascii="仿宋_GB2312" w:eastAsia="仿宋_GB2312"/>
          <w:sz w:val="32"/>
          <w:szCs w:val="32"/>
          <w:lang w:val="en-US" w:eastAsia="zh-CN"/>
        </w:rPr>
        <w:t>0</w:t>
      </w:r>
      <w:r>
        <w:rPr>
          <w:rFonts w:hint="eastAsia" w:ascii="仿宋_GB2312" w:eastAsia="仿宋_GB2312"/>
          <w:sz w:val="32"/>
          <w:szCs w:val="32"/>
        </w:rPr>
        <w:t>台（套），单价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autoSpaceDE w:val="0"/>
        <w:autoSpaceDN w:val="0"/>
        <w:adjustRightInd w:val="0"/>
        <w:spacing w:line="600" w:lineRule="exact"/>
        <w:ind w:firstLine="642" w:firstLineChars="200"/>
        <w:jc w:val="left"/>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表，按部门决算报表填报数据罗列车辆情况。）</w:t>
      </w:r>
    </w:p>
    <w:p>
      <w:pPr>
        <w:autoSpaceDE w:val="0"/>
        <w:autoSpaceDN w:val="0"/>
        <w:adjustRightInd w:val="0"/>
        <w:spacing w:line="600" w:lineRule="exact"/>
        <w:ind w:firstLine="642" w:firstLineChars="200"/>
        <w:jc w:val="left"/>
        <w:outlineLvl w:val="2"/>
        <w:rPr>
          <w:rFonts w:ascii="仿宋" w:eastAsia="仿宋"/>
          <w:b/>
          <w:sz w:val="32"/>
          <w:szCs w:val="32"/>
        </w:rPr>
      </w:pPr>
      <w:r>
        <w:rPr>
          <w:rFonts w:hint="eastAsia" w:ascii="仿宋" w:eastAsia="仿宋"/>
          <w:b/>
          <w:sz w:val="32"/>
          <w:szCs w:val="32"/>
        </w:rPr>
        <w:t>（四）预算绩效管理情况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根据预算绩效管理要求，本部门在2021年度预算编制阶段，组织对“重点档案抢救与保护”、“档案馆物业运转”“档案查阅费”“档案征集”、“库房空调采购”、“数字化档案馆建设”、“ 庆祝中国共产党成立100周年档案史料展”</w:t>
      </w: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个项目开展了绩效自评。同时，本部门对2021年部门整体开展绩效自评，《2021年</w:t>
      </w:r>
      <w:r>
        <w:rPr>
          <w:rFonts w:hint="eastAsia" w:ascii="仿宋_GB2312" w:eastAsia="仿宋_GB2312" w:cs="仿宋_GB2312"/>
          <w:sz w:val="32"/>
          <w:szCs w:val="32"/>
          <w:lang w:val="en-US" w:eastAsia="zh-CN"/>
        </w:rPr>
        <w:t>阿坝州档案馆</w:t>
      </w:r>
      <w:r>
        <w:rPr>
          <w:rFonts w:hint="eastAsia" w:ascii="仿宋_GB2312" w:eastAsia="仿宋_GB2312" w:cs="仿宋_GB2312"/>
          <w:sz w:val="32"/>
          <w:szCs w:val="32"/>
        </w:rPr>
        <w:t>部门整体绩效评价报告》见附件（第四部分）。</w:t>
      </w: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4"/>
        </w:numPr>
        <w:spacing w:line="600" w:lineRule="exact"/>
        <w:ind w:firstLine="660" w:firstLineChars="150"/>
        <w:jc w:val="center"/>
        <w:outlineLvl w:val="0"/>
        <w:rPr>
          <w:rStyle w:val="23"/>
          <w:rFonts w:ascii="黑体" w:eastAsia="黑体"/>
          <w:b w:val="0"/>
        </w:rPr>
      </w:pPr>
      <w:bookmarkStart w:id="55" w:name="_Toc15377225"/>
      <w:bookmarkStart w:id="56" w:name="_Toc15396613"/>
      <w:r>
        <w:rPr>
          <w:rFonts w:hint="eastAsia" w:ascii="黑体" w:eastAsia="黑体"/>
          <w:sz w:val="44"/>
          <w:szCs w:val="44"/>
        </w:rPr>
        <w:t>名</w:t>
      </w:r>
      <w:r>
        <w:rPr>
          <w:rStyle w:val="23"/>
          <w:rFonts w:hint="eastAsia" w:ascii="黑体" w:eastAsia="黑体"/>
          <w:b w:val="0"/>
        </w:rPr>
        <w:t>词解释</w:t>
      </w:r>
      <w:bookmarkEnd w:id="55"/>
      <w:bookmarkEnd w:id="56"/>
    </w:p>
    <w:p>
      <w:pPr>
        <w:spacing w:line="600" w:lineRule="exact"/>
        <w:jc w:val="left"/>
        <w:rPr>
          <w:rFonts w:ascii="宋体"/>
          <w:b/>
          <w:sz w:val="44"/>
          <w:szCs w:val="44"/>
        </w:rPr>
      </w:pP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ind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一般公共服务（类）…（款）…（项）：指……。</w:t>
      </w:r>
    </w:p>
    <w:p>
      <w:pPr>
        <w:ind w:firstLine="640" w:firstLineChars="200"/>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外交（类）…（款）…（项）：指……。</w:t>
      </w:r>
    </w:p>
    <w:p>
      <w:pPr>
        <w:ind w:firstLine="640" w:firstLineChars="200"/>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公共安全（类）…（款）…（项）：指……。</w:t>
      </w:r>
    </w:p>
    <w:p>
      <w:pPr>
        <w:ind w:firstLine="640" w:firstLineChars="200"/>
        <w:rPr>
          <w:rFonts w:ascii="仿宋_GB2312" w:eastAsia="仿宋_GB2312"/>
          <w:sz w:val="32"/>
          <w:szCs w:val="32"/>
        </w:rPr>
      </w:pPr>
      <w:r>
        <w:rPr>
          <w:rFonts w:ascii="仿宋_GB2312" w:eastAsia="仿宋_GB2312"/>
          <w:sz w:val="32"/>
          <w:szCs w:val="32"/>
        </w:rPr>
        <w:t>12.</w:t>
      </w:r>
      <w:r>
        <w:rPr>
          <w:rFonts w:hint="eastAsia" w:ascii="仿宋_GB2312" w:eastAsia="仿宋_GB2312"/>
          <w:sz w:val="32"/>
          <w:szCs w:val="32"/>
        </w:rPr>
        <w:t>教育（类）…（款）…（项）：指……。</w:t>
      </w:r>
    </w:p>
    <w:p>
      <w:pPr>
        <w:ind w:firstLine="640" w:firstLineChars="200"/>
        <w:rPr>
          <w:rFonts w:ascii="仿宋_GB2312" w:eastAsia="仿宋_GB2312"/>
          <w:sz w:val="32"/>
          <w:szCs w:val="32"/>
        </w:rPr>
      </w:pPr>
      <w:r>
        <w:rPr>
          <w:rFonts w:ascii="仿宋_GB2312" w:eastAsia="仿宋_GB2312"/>
          <w:sz w:val="32"/>
          <w:szCs w:val="32"/>
        </w:rPr>
        <w:t>13.</w:t>
      </w:r>
      <w:r>
        <w:rPr>
          <w:rFonts w:hint="eastAsia" w:ascii="仿宋_GB2312" w:eastAsia="仿宋_GB2312"/>
          <w:sz w:val="32"/>
          <w:szCs w:val="32"/>
        </w:rPr>
        <w:t>科学技术（类）…（款）…（项）：指……。</w:t>
      </w:r>
    </w:p>
    <w:p>
      <w:pPr>
        <w:ind w:firstLine="640" w:firstLineChars="200"/>
        <w:rPr>
          <w:rFonts w:ascii="仿宋_GB2312" w:eastAsia="仿宋_GB2312"/>
          <w:sz w:val="32"/>
          <w:szCs w:val="32"/>
        </w:rPr>
      </w:pPr>
      <w:r>
        <w:rPr>
          <w:rFonts w:ascii="仿宋_GB2312" w:eastAsia="仿宋_GB2312"/>
          <w:sz w:val="32"/>
          <w:szCs w:val="32"/>
        </w:rPr>
        <w:t>14.</w:t>
      </w:r>
      <w:r>
        <w:rPr>
          <w:rFonts w:hint="eastAsia" w:ascii="仿宋_GB2312" w:eastAsia="仿宋_GB2312"/>
          <w:sz w:val="32"/>
          <w:szCs w:val="32"/>
        </w:rPr>
        <w:t>文化体育与传媒（类）…（款）…（项）：指……。</w:t>
      </w:r>
    </w:p>
    <w:p>
      <w:pPr>
        <w:ind w:firstLine="640" w:firstLineChars="200"/>
        <w:rPr>
          <w:rFonts w:ascii="仿宋_GB2312" w:eastAsia="仿宋_GB2312"/>
          <w:sz w:val="32"/>
          <w:szCs w:val="32"/>
        </w:rPr>
      </w:pPr>
      <w:r>
        <w:rPr>
          <w:rFonts w:ascii="仿宋_GB2312" w:eastAsia="仿宋_GB2312"/>
          <w:sz w:val="32"/>
          <w:szCs w:val="32"/>
        </w:rPr>
        <w:t>15.</w:t>
      </w:r>
      <w:r>
        <w:rPr>
          <w:rFonts w:hint="eastAsia" w:ascii="仿宋_GB2312" w:eastAsia="仿宋_GB2312"/>
          <w:sz w:val="32"/>
          <w:szCs w:val="32"/>
        </w:rPr>
        <w:t>社会保障和就业（类）…（款）…（项）：指……。</w:t>
      </w:r>
    </w:p>
    <w:p>
      <w:pPr>
        <w:ind w:firstLine="640" w:firstLineChars="200"/>
        <w:rPr>
          <w:rFonts w:ascii="仿宋_GB2312" w:eastAsia="仿宋_GB2312"/>
          <w:sz w:val="32"/>
          <w:szCs w:val="32"/>
        </w:rPr>
      </w:pPr>
      <w:r>
        <w:rPr>
          <w:rFonts w:ascii="仿宋_GB2312" w:eastAsia="仿宋_GB2312"/>
          <w:sz w:val="32"/>
          <w:szCs w:val="32"/>
        </w:rPr>
        <w:t>16.</w:t>
      </w:r>
      <w:r>
        <w:rPr>
          <w:rFonts w:hint="eastAsia" w:ascii="仿宋_GB2312" w:eastAsia="仿宋_GB2312"/>
          <w:sz w:val="32"/>
          <w:szCs w:val="32"/>
        </w:rPr>
        <w:t>医疗卫生与计划生育（类）…（款）…（项）：指……。</w:t>
      </w:r>
    </w:p>
    <w:p>
      <w:pPr>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节能环保（类）…（款）…（项）：指……。</w:t>
      </w:r>
    </w:p>
    <w:p>
      <w:pPr>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城乡社区（类）…（款）…（项）：指……。</w:t>
      </w:r>
    </w:p>
    <w:p>
      <w:pPr>
        <w:ind w:firstLine="640" w:firstLineChars="200"/>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农林水（类）…（款）…（项）：指……。</w:t>
      </w:r>
    </w:p>
    <w:p>
      <w:pPr>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交通运输（类）…（款）…（项）：指……。</w:t>
      </w:r>
    </w:p>
    <w:p>
      <w:pPr>
        <w:ind w:firstLine="640" w:firstLineChars="200"/>
        <w:rPr>
          <w:rFonts w:ascii="仿宋_GB2312" w:eastAsia="仿宋_GB2312"/>
          <w:sz w:val="32"/>
          <w:szCs w:val="32"/>
        </w:rPr>
      </w:pPr>
      <w:r>
        <w:rPr>
          <w:rFonts w:ascii="仿宋_GB2312" w:eastAsia="仿宋_GB2312"/>
          <w:sz w:val="32"/>
          <w:szCs w:val="32"/>
        </w:rPr>
        <w:t>21.</w:t>
      </w:r>
      <w:r>
        <w:rPr>
          <w:rFonts w:hint="eastAsia" w:ascii="仿宋_GB2312" w:eastAsia="仿宋_GB2312"/>
          <w:sz w:val="32"/>
          <w:szCs w:val="32"/>
        </w:rPr>
        <w:t>资源勘探信息等（类）…（款）…（项）：指……。</w:t>
      </w:r>
    </w:p>
    <w:p>
      <w:pPr>
        <w:ind w:firstLine="640" w:firstLineChars="200"/>
        <w:rPr>
          <w:rFonts w:ascii="仿宋_GB2312" w:eastAsia="仿宋_GB2312"/>
          <w:sz w:val="32"/>
          <w:szCs w:val="32"/>
        </w:rPr>
      </w:pPr>
      <w:r>
        <w:rPr>
          <w:rFonts w:ascii="仿宋_GB2312" w:eastAsia="仿宋_GB2312"/>
          <w:sz w:val="32"/>
          <w:szCs w:val="32"/>
        </w:rPr>
        <w:t>22.</w:t>
      </w:r>
      <w:r>
        <w:rPr>
          <w:rFonts w:hint="eastAsia" w:ascii="仿宋_GB2312" w:eastAsia="仿宋_GB2312"/>
          <w:sz w:val="32"/>
          <w:szCs w:val="32"/>
        </w:rPr>
        <w:t>商业服务业（类）…（款）…（项）：指……。</w:t>
      </w:r>
    </w:p>
    <w:p>
      <w:pPr>
        <w:ind w:firstLine="640" w:firstLineChars="200"/>
        <w:rPr>
          <w:rFonts w:ascii="仿宋_GB2312" w:eastAsia="仿宋_GB2312"/>
          <w:sz w:val="32"/>
          <w:szCs w:val="32"/>
        </w:rPr>
      </w:pPr>
      <w:r>
        <w:rPr>
          <w:rFonts w:ascii="仿宋_GB2312" w:eastAsia="仿宋_GB2312"/>
          <w:sz w:val="32"/>
          <w:szCs w:val="32"/>
        </w:rPr>
        <w:t>23.</w:t>
      </w:r>
      <w:r>
        <w:rPr>
          <w:rFonts w:hint="eastAsia" w:ascii="仿宋_GB2312" w:eastAsia="仿宋_GB2312"/>
          <w:sz w:val="32"/>
          <w:szCs w:val="32"/>
        </w:rPr>
        <w:t>金融（类）…（款）…（项）：指……。</w:t>
      </w:r>
    </w:p>
    <w:p>
      <w:pPr>
        <w:ind w:firstLine="640" w:firstLineChars="200"/>
        <w:rPr>
          <w:rFonts w:ascii="仿宋_GB2312" w:eastAsia="仿宋_GB2312"/>
          <w:sz w:val="32"/>
          <w:szCs w:val="32"/>
        </w:rPr>
      </w:pPr>
      <w:r>
        <w:rPr>
          <w:rFonts w:ascii="仿宋_GB2312" w:eastAsia="仿宋_GB2312"/>
          <w:sz w:val="32"/>
          <w:szCs w:val="32"/>
        </w:rPr>
        <w:t>24.</w:t>
      </w:r>
      <w:r>
        <w:rPr>
          <w:rFonts w:hint="eastAsia" w:ascii="仿宋_GB2312" w:eastAsia="仿宋_GB2312"/>
          <w:sz w:val="32"/>
          <w:szCs w:val="32"/>
        </w:rPr>
        <w:t>国土海洋气象等（类）…（款）…（项）：指……。</w:t>
      </w:r>
    </w:p>
    <w:p>
      <w:pPr>
        <w:ind w:firstLine="640" w:firstLineChars="200"/>
        <w:rPr>
          <w:rFonts w:ascii="仿宋_GB2312" w:eastAsia="仿宋_GB2312"/>
          <w:sz w:val="32"/>
          <w:szCs w:val="32"/>
        </w:rPr>
      </w:pPr>
      <w:r>
        <w:rPr>
          <w:rFonts w:ascii="仿宋_GB2312" w:eastAsia="仿宋_GB2312"/>
          <w:sz w:val="32"/>
          <w:szCs w:val="32"/>
        </w:rPr>
        <w:t>25.</w:t>
      </w:r>
      <w:r>
        <w:rPr>
          <w:rFonts w:hint="eastAsia" w:ascii="仿宋_GB2312" w:eastAsia="仿宋_GB2312"/>
          <w:sz w:val="32"/>
          <w:szCs w:val="32"/>
        </w:rPr>
        <w:t>住房保障（类）…（款）…（项）：指……。</w:t>
      </w:r>
    </w:p>
    <w:p>
      <w:pPr>
        <w:ind w:firstLine="640" w:firstLineChars="200"/>
        <w:rPr>
          <w:rFonts w:ascii="仿宋_GB2312" w:eastAsia="仿宋_GB2312"/>
          <w:sz w:val="32"/>
          <w:szCs w:val="32"/>
        </w:rPr>
      </w:pPr>
      <w:r>
        <w:rPr>
          <w:rFonts w:ascii="仿宋_GB2312" w:eastAsia="仿宋_GB2312"/>
          <w:sz w:val="32"/>
          <w:szCs w:val="32"/>
        </w:rPr>
        <w:t>26.</w:t>
      </w:r>
      <w:r>
        <w:rPr>
          <w:rFonts w:hint="eastAsia" w:ascii="仿宋_GB2312" w:eastAsia="仿宋_GB2312"/>
          <w:sz w:val="32"/>
          <w:szCs w:val="32"/>
        </w:rPr>
        <w:t>粮油物资储备（类）…（款）…（项）：指……。</w:t>
      </w:r>
    </w:p>
    <w:p>
      <w:pPr>
        <w:ind w:firstLine="640" w:firstLineChars="200"/>
        <w:rPr>
          <w:rFonts w:ascii="仿宋_GB2312" w:eastAsia="仿宋_GB2312"/>
          <w:sz w:val="32"/>
          <w:szCs w:val="32"/>
        </w:rPr>
      </w:pP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w:t>
      </w:r>
    </w:p>
    <w:p>
      <w:pPr>
        <w:spacing w:line="600" w:lineRule="exact"/>
        <w:ind w:firstLine="640"/>
        <w:rPr>
          <w:rFonts w:ascii="仿宋" w:eastAsia="仿宋"/>
          <w:b/>
          <w:sz w:val="32"/>
          <w:szCs w:val="32"/>
        </w:rPr>
      </w:pPr>
      <w:r>
        <w:rPr>
          <w:rFonts w:hint="eastAsia" w:ascii="仿宋" w:eastAsia="仿宋"/>
          <w:b/>
          <w:sz w:val="32"/>
          <w:szCs w:val="32"/>
        </w:rPr>
        <w:t>（解释本部门决算报表中涉及的全部功能分类科目至项级，不涉及的科目请自行删除。请参照《</w:t>
      </w:r>
      <w:r>
        <w:rPr>
          <w:rFonts w:ascii="仿宋" w:eastAsia="仿宋"/>
          <w:b/>
          <w:sz w:val="32"/>
          <w:szCs w:val="32"/>
        </w:rPr>
        <w:t>20</w:t>
      </w:r>
      <w:r>
        <w:rPr>
          <w:rFonts w:hint="eastAsia" w:ascii="仿宋" w:eastAsia="仿宋"/>
          <w:b/>
          <w:sz w:val="32"/>
          <w:szCs w:val="32"/>
        </w:rPr>
        <w:t>21年政府收支分类科目》增减内容。）</w:t>
      </w:r>
    </w:p>
    <w:p>
      <w:pPr>
        <w:ind w:firstLine="640" w:firstLineChars="200"/>
        <w:rPr>
          <w:rFonts w:ascii="仿宋_GB2312" w:eastAsia="仿宋_GB2312"/>
          <w:sz w:val="32"/>
          <w:szCs w:val="32"/>
        </w:rPr>
      </w:pPr>
      <w:r>
        <w:rPr>
          <w:rFonts w:ascii="仿宋_GB2312" w:eastAsia="仿宋_GB2312"/>
          <w:sz w:val="32"/>
          <w:szCs w:val="32"/>
        </w:rPr>
        <w:t>27.</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ascii="仿宋_GB2312" w:eastAsia="仿宋_GB2312"/>
          <w:sz w:val="32"/>
          <w:szCs w:val="32"/>
        </w:rPr>
        <w:t>28.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ascii="仿宋_GB2312" w:eastAsia="仿宋_GB2312"/>
          <w:sz w:val="32"/>
          <w:szCs w:val="32"/>
        </w:rPr>
        <w:t>29.</w:t>
      </w:r>
      <w:r>
        <w:rPr>
          <w:rFonts w:hint="eastAsia" w:ascii="仿宋_GB2312" w:eastAsia="仿宋_GB2312"/>
          <w:sz w:val="32"/>
          <w:szCs w:val="32"/>
        </w:rPr>
        <w:t>经营支出：指事业单位在专业业务活动及其辅助活动之外开展非独立核算经营活动发生的支出。</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30.</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32.</w:t>
      </w:r>
      <w:r>
        <w:rPr>
          <w:rFonts w:hint="eastAsia" w:ascii="仿宋_GB2312" w:eastAsia="仿宋_GB2312"/>
          <w:color w:val="auto"/>
          <w:sz w:val="32"/>
          <w:szCs w:val="32"/>
        </w:rPr>
        <w:t>……。</w:t>
      </w:r>
    </w:p>
    <w:p>
      <w:pPr>
        <w:pStyle w:val="28"/>
        <w:spacing w:line="560" w:lineRule="exact"/>
        <w:ind w:firstLine="640" w:firstLineChars="200"/>
        <w:rPr>
          <w:rFonts w:ascii="仿宋_GB2312" w:eastAsia="仿宋_GB2312" w:cs="黑体"/>
          <w:color w:val="auto"/>
          <w:sz w:val="32"/>
          <w:szCs w:val="32"/>
        </w:rPr>
      </w:pPr>
    </w:p>
    <w:p>
      <w:pPr>
        <w:ind w:firstLine="642" w:firstLineChars="200"/>
        <w:rPr>
          <w:rFonts w:ascii="仿宋" w:eastAsia="仿宋"/>
          <w:b/>
          <w:sz w:val="32"/>
          <w:szCs w:val="32"/>
        </w:rPr>
      </w:pPr>
      <w:r>
        <w:rPr>
          <w:rFonts w:hint="eastAsia" w:ascii="仿宋" w:eastAsia="仿宋"/>
          <w:b/>
          <w:sz w:val="32"/>
          <w:szCs w:val="32"/>
        </w:rPr>
        <w:t>（名词解释部分请根据各部门实际列支情况罗列，并根据本部门职责职能增减名词解释内容。）</w:t>
      </w:r>
    </w:p>
    <w:p>
      <w:pPr>
        <w:spacing w:line="600" w:lineRule="exact"/>
        <w:jc w:val="center"/>
        <w:outlineLvl w:val="0"/>
        <w:rPr>
          <w:rFonts w:hint="default"/>
          <w:lang w:val="en-US" w:eastAsia="zh-CN"/>
        </w:rPr>
      </w:pPr>
      <w:bookmarkStart w:id="57" w:name="_Toc15377226"/>
      <w:r>
        <w:rPr>
          <w:rFonts w:ascii="宋体"/>
          <w:b/>
          <w:sz w:val="44"/>
          <w:szCs w:val="44"/>
        </w:rPr>
        <w:br w:type="page"/>
      </w:r>
      <w:bookmarkStart w:id="58" w:name="_Toc15396614"/>
      <w:r>
        <w:rPr>
          <w:rFonts w:hint="eastAsia" w:ascii="黑体" w:eastAsia="黑体"/>
          <w:sz w:val="44"/>
          <w:szCs w:val="44"/>
        </w:rPr>
        <w:t>第</w:t>
      </w:r>
      <w:r>
        <w:rPr>
          <w:rStyle w:val="23"/>
          <w:rFonts w:hint="eastAsia" w:ascii="黑体" w:eastAsia="黑体"/>
          <w:b w:val="0"/>
        </w:rPr>
        <w:t>四部分 附件</w:t>
      </w:r>
      <w:bookmarkEnd w:id="58"/>
    </w:p>
    <w:p>
      <w:pPr>
        <w:spacing w:line="572" w:lineRule="exact"/>
        <w:jc w:val="center"/>
        <w:rPr>
          <w:rFonts w:ascii="黑体" w:eastAsia="黑体" w:cs="宋体"/>
          <w:kern w:val="0"/>
          <w:sz w:val="24"/>
          <w:szCs w:val="32"/>
          <w:shd w:val="clear" w:color="auto" w:fill="FFFFFF"/>
        </w:rPr>
      </w:pPr>
      <w:r>
        <w:rPr>
          <w:rFonts w:hint="eastAsia" w:ascii="方正小标宋简体" w:eastAsia="方正小标宋简体"/>
          <w:kern w:val="0"/>
          <w:sz w:val="40"/>
          <w:szCs w:val="44"/>
        </w:rPr>
        <w:t>2021年</w:t>
      </w:r>
      <w:r>
        <w:rPr>
          <w:rFonts w:hint="eastAsia" w:ascii="方正小标宋简体" w:eastAsia="方正小标宋简体"/>
          <w:kern w:val="0"/>
          <w:sz w:val="40"/>
          <w:szCs w:val="44"/>
          <w:lang w:val="en-US" w:eastAsia="zh-CN"/>
        </w:rPr>
        <w:t>阿坝州档案馆</w:t>
      </w:r>
      <w:r>
        <w:rPr>
          <w:rFonts w:hint="eastAsia" w:ascii="方正小标宋简体" w:eastAsia="方正小标宋简体"/>
          <w:kern w:val="0"/>
          <w:sz w:val="40"/>
          <w:szCs w:val="44"/>
        </w:rPr>
        <w:t>部门整体绩效评价报告</w:t>
      </w:r>
    </w:p>
    <w:p>
      <w:pPr>
        <w:widowControl/>
        <w:adjustRightInd w:val="0"/>
        <w:snapToGrid w:val="0"/>
        <w:spacing w:line="572" w:lineRule="exact"/>
        <w:ind w:firstLine="640" w:firstLineChars="200"/>
        <w:contextualSpacing/>
        <w:jc w:val="left"/>
        <w:rPr>
          <w:rFonts w:ascii="黑体" w:eastAsia="黑体" w:cs="宋体"/>
          <w:kern w:val="0"/>
          <w:sz w:val="32"/>
          <w:szCs w:val="32"/>
          <w:shd w:val="clear" w:color="auto" w:fill="FFFFFF"/>
          <w:lang w:val="zh-CN"/>
        </w:rPr>
      </w:pPr>
      <w:r>
        <w:rPr>
          <w:rFonts w:hint="eastAsia" w:ascii="黑体" w:eastAsia="黑体" w:cs="宋体"/>
          <w:kern w:val="0"/>
          <w:sz w:val="32"/>
          <w:szCs w:val="32"/>
          <w:shd w:val="clear" w:color="auto" w:fill="FFFFFF"/>
        </w:rPr>
        <w:t>一、</w:t>
      </w:r>
      <w:r>
        <w:rPr>
          <w:rFonts w:hint="eastAsia" w:ascii="黑体" w:eastAsia="黑体" w:cs="宋体"/>
          <w:kern w:val="0"/>
          <w:sz w:val="32"/>
          <w:szCs w:val="32"/>
          <w:shd w:val="clear" w:color="auto" w:fill="FFFFFF"/>
          <w:lang w:val="zh-CN"/>
        </w:rPr>
        <w:t>部门（单位）概况</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rPr>
      </w:pPr>
      <w:r>
        <w:rPr>
          <w:rFonts w:hint="eastAsia" w:ascii="楷体_GB2312" w:hAnsi="宋体" w:eastAsia="楷体_GB2312" w:cs="宋体"/>
          <w:color w:val="000000"/>
          <w:kern w:val="0"/>
          <w:sz w:val="32"/>
          <w:szCs w:val="32"/>
          <w:shd w:val="clear" w:color="auto" w:fill="FFFFFF"/>
          <w:lang w:val="zh-CN"/>
        </w:rPr>
        <w:t>（一）机构组成。</w:t>
      </w:r>
    </w:p>
    <w:p>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州档案馆属一级预算单位，是参照公务员法管理的事业单位。下设办公室、安全保卫科、</w:t>
      </w:r>
      <w:r>
        <w:rPr>
          <w:rFonts w:hint="eastAsia" w:ascii="仿宋_GB2312" w:hAnsi="宋体" w:eastAsia="仿宋_GB2312" w:cs="宋体"/>
          <w:color w:val="000000"/>
          <w:kern w:val="0"/>
          <w:sz w:val="32"/>
          <w:szCs w:val="32"/>
          <w:shd w:val="clear" w:color="auto" w:fill="FFFFFF"/>
          <w:lang w:val="en-US" w:eastAsia="zh-CN"/>
        </w:rPr>
        <w:t>接收征集</w:t>
      </w:r>
      <w:r>
        <w:rPr>
          <w:rFonts w:hint="eastAsia" w:ascii="仿宋_GB2312" w:hAnsi="宋体" w:eastAsia="仿宋_GB2312" w:cs="宋体"/>
          <w:color w:val="000000"/>
          <w:kern w:val="0"/>
          <w:sz w:val="32"/>
          <w:szCs w:val="32"/>
          <w:shd w:val="clear" w:color="auto" w:fill="FFFFFF"/>
          <w:lang w:val="zh-CN"/>
        </w:rPr>
        <w:t>科、开发编辑科、保管利用科、信息技术科、宣传教育科7个科（室）。</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rPr>
      </w:pPr>
      <w:r>
        <w:rPr>
          <w:rFonts w:hint="eastAsia" w:ascii="楷体_GB2312" w:hAnsi="宋体" w:eastAsia="楷体_GB2312" w:cs="宋体"/>
          <w:color w:val="000000"/>
          <w:kern w:val="0"/>
          <w:sz w:val="32"/>
          <w:szCs w:val="32"/>
          <w:shd w:val="clear" w:color="auto" w:fill="FFFFFF"/>
          <w:lang w:val="zh-CN"/>
        </w:rPr>
        <w:t>（</w:t>
      </w:r>
      <w:r>
        <w:rPr>
          <w:rFonts w:hint="eastAsia" w:ascii="楷体_GB2312" w:hAnsi="宋体" w:eastAsia="楷体_GB2312" w:cs="宋体"/>
          <w:color w:val="000000"/>
          <w:kern w:val="0"/>
          <w:sz w:val="32"/>
          <w:szCs w:val="32"/>
          <w:shd w:val="clear" w:color="auto" w:fill="FFFFFF"/>
          <w:lang w:val="en-US" w:eastAsia="zh-CN"/>
        </w:rPr>
        <w:t>二</w:t>
      </w:r>
      <w:r>
        <w:rPr>
          <w:rFonts w:hint="eastAsia" w:ascii="楷体_GB2312" w:hAnsi="宋体" w:eastAsia="楷体_GB2312" w:cs="宋体"/>
          <w:color w:val="000000"/>
          <w:kern w:val="0"/>
          <w:sz w:val="32"/>
          <w:szCs w:val="32"/>
          <w:shd w:val="clear" w:color="auto" w:fill="FFFFFF"/>
          <w:lang w:val="zh-CN"/>
        </w:rPr>
        <w:t>）机构职能。</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阿坝州档案馆履行州直机关、团体、事业单位、州属国有企业及其下属单位档案保管、使用职能，对县（市）档案馆业务进行指导。是阿坝州档案安全保管的基地、利用档案开展爱国主义教育的基地、档案信息服务的中心和已公开现行文件集中向社会提供利用的中心。</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rPr>
      </w:pPr>
      <w:r>
        <w:rPr>
          <w:rFonts w:hint="eastAsia" w:ascii="楷体_GB2312" w:hAnsi="宋体" w:eastAsia="楷体_GB2312" w:cs="宋体"/>
          <w:color w:val="000000"/>
          <w:kern w:val="0"/>
          <w:sz w:val="32"/>
          <w:szCs w:val="32"/>
          <w:shd w:val="clear" w:color="auto" w:fill="FFFFFF"/>
          <w:lang w:val="zh-CN"/>
        </w:rPr>
        <w:t>（</w:t>
      </w:r>
      <w:r>
        <w:rPr>
          <w:rFonts w:hint="eastAsia" w:ascii="楷体_GB2312" w:hAnsi="宋体" w:eastAsia="楷体_GB2312" w:cs="宋体"/>
          <w:color w:val="000000"/>
          <w:kern w:val="0"/>
          <w:sz w:val="32"/>
          <w:szCs w:val="32"/>
          <w:shd w:val="clear" w:color="auto" w:fill="FFFFFF"/>
          <w:lang w:val="en-US" w:eastAsia="zh-CN"/>
        </w:rPr>
        <w:t>三</w:t>
      </w:r>
      <w:r>
        <w:rPr>
          <w:rFonts w:hint="eastAsia" w:ascii="楷体_GB2312" w:hAnsi="宋体" w:eastAsia="楷体_GB2312" w:cs="宋体"/>
          <w:color w:val="000000"/>
          <w:kern w:val="0"/>
          <w:sz w:val="32"/>
          <w:szCs w:val="32"/>
          <w:shd w:val="clear" w:color="auto" w:fill="FFFFFF"/>
          <w:lang w:val="zh-CN"/>
        </w:rPr>
        <w:t>）人员概况。</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cs="宋体"/>
          <w:color w:val="000000"/>
          <w:kern w:val="0"/>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州档案馆总编制29名，其中：参公事业编制29名。在职人员总数</w:t>
      </w:r>
      <w:r>
        <w:rPr>
          <w:rFonts w:hint="eastAsia" w:ascii="仿宋_GB2312" w:hAnsi="宋体" w:eastAsia="仿宋_GB2312" w:cs="宋体"/>
          <w:color w:val="000000"/>
          <w:kern w:val="0"/>
          <w:sz w:val="32"/>
          <w:szCs w:val="32"/>
          <w:shd w:val="clear" w:color="auto" w:fill="FFFFFF"/>
          <w:lang w:val="en-US" w:eastAsia="zh-CN"/>
        </w:rPr>
        <w:t>28</w:t>
      </w:r>
      <w:r>
        <w:rPr>
          <w:rFonts w:hint="eastAsia" w:ascii="仿宋_GB2312" w:hAnsi="宋体" w:eastAsia="仿宋_GB2312" w:cs="宋体"/>
          <w:color w:val="000000"/>
          <w:kern w:val="0"/>
          <w:sz w:val="32"/>
          <w:szCs w:val="32"/>
          <w:shd w:val="clear" w:color="auto" w:fill="FFFFFF"/>
          <w:lang w:val="zh-CN"/>
        </w:rPr>
        <w:t>人，</w:t>
      </w:r>
      <w:r>
        <w:rPr>
          <w:rFonts w:hint="eastAsia" w:ascii="仿宋_GB2312" w:hAnsi="宋体" w:eastAsia="仿宋_GB2312" w:cs="宋体"/>
          <w:color w:val="000000"/>
          <w:kern w:val="0"/>
          <w:sz w:val="32"/>
          <w:szCs w:val="32"/>
          <w:shd w:val="clear" w:color="auto" w:fill="FFFFFF"/>
          <w:lang w:val="en-US" w:eastAsia="zh-CN"/>
        </w:rPr>
        <w:t>其</w:t>
      </w:r>
      <w:r>
        <w:rPr>
          <w:rFonts w:hint="eastAsia" w:ascii="仿宋_GB2312" w:hAnsi="宋体" w:eastAsia="仿宋_GB2312" w:cs="宋体"/>
          <w:color w:val="000000"/>
          <w:kern w:val="0"/>
          <w:sz w:val="32"/>
          <w:szCs w:val="32"/>
          <w:shd w:val="clear" w:color="auto" w:fill="FFFFFF"/>
          <w:lang w:val="zh-CN"/>
        </w:rPr>
        <w:t>中</w:t>
      </w:r>
      <w:r>
        <w:rPr>
          <w:rFonts w:hint="eastAsia" w:ascii="仿宋_GB2312" w:hAnsi="宋体" w:eastAsia="仿宋_GB2312" w:cs="宋体"/>
          <w:color w:val="000000"/>
          <w:kern w:val="0"/>
          <w:sz w:val="32"/>
          <w:szCs w:val="32"/>
          <w:shd w:val="clear" w:color="auto" w:fill="FFFFFF"/>
          <w:lang w:val="en-US" w:eastAsia="zh-CN"/>
        </w:rPr>
        <w:t>馆</w:t>
      </w:r>
      <w:r>
        <w:rPr>
          <w:rFonts w:hint="eastAsia" w:ascii="仿宋_GB2312" w:hAnsi="宋体" w:eastAsia="仿宋_GB2312" w:cs="宋体"/>
          <w:color w:val="000000"/>
          <w:kern w:val="0"/>
          <w:sz w:val="32"/>
          <w:szCs w:val="32"/>
          <w:shd w:val="clear" w:color="auto" w:fill="FFFFFF"/>
          <w:lang w:val="zh-CN"/>
        </w:rPr>
        <w:t>长1名、副</w:t>
      </w:r>
      <w:r>
        <w:rPr>
          <w:rFonts w:hint="eastAsia" w:ascii="仿宋_GB2312" w:hAnsi="宋体" w:eastAsia="仿宋_GB2312" w:cs="宋体"/>
          <w:color w:val="000000"/>
          <w:kern w:val="0"/>
          <w:sz w:val="32"/>
          <w:szCs w:val="32"/>
          <w:shd w:val="clear" w:color="auto" w:fill="FFFFFF"/>
          <w:lang w:val="en-US" w:eastAsia="zh-CN"/>
        </w:rPr>
        <w:t>馆</w:t>
      </w:r>
      <w:r>
        <w:rPr>
          <w:rFonts w:hint="eastAsia" w:ascii="仿宋_GB2312" w:hAnsi="宋体" w:eastAsia="仿宋_GB2312" w:cs="宋体"/>
          <w:color w:val="000000"/>
          <w:kern w:val="0"/>
          <w:sz w:val="32"/>
          <w:szCs w:val="32"/>
          <w:shd w:val="clear" w:color="auto" w:fill="FFFFFF"/>
          <w:lang w:val="zh-CN"/>
        </w:rPr>
        <w:t>长2名、</w:t>
      </w:r>
      <w:r>
        <w:rPr>
          <w:rFonts w:hint="eastAsia" w:ascii="仿宋_GB2312" w:hAnsi="宋体" w:eastAsia="仿宋_GB2312" w:cs="宋体"/>
          <w:color w:val="000000"/>
          <w:kern w:val="0"/>
          <w:sz w:val="32"/>
          <w:szCs w:val="32"/>
          <w:shd w:val="clear" w:color="auto" w:fill="FFFFFF"/>
          <w:lang w:val="en-US" w:eastAsia="zh-CN"/>
        </w:rPr>
        <w:t>一级调研员1名、三级</w:t>
      </w:r>
      <w:r>
        <w:rPr>
          <w:rFonts w:hint="eastAsia" w:ascii="仿宋_GB2312" w:hAnsi="宋体" w:eastAsia="仿宋_GB2312" w:cs="宋体"/>
          <w:color w:val="000000"/>
          <w:kern w:val="0"/>
          <w:sz w:val="32"/>
          <w:szCs w:val="32"/>
          <w:shd w:val="clear" w:color="auto" w:fill="FFFFFF"/>
          <w:lang w:val="zh-CN"/>
        </w:rPr>
        <w:t>调研员</w:t>
      </w:r>
      <w:r>
        <w:rPr>
          <w:rFonts w:hint="eastAsia" w:ascii="仿宋_GB2312" w:hAnsi="宋体" w:eastAsia="仿宋_GB2312" w:cs="宋体"/>
          <w:color w:val="000000"/>
          <w:kern w:val="0"/>
          <w:sz w:val="32"/>
          <w:szCs w:val="32"/>
          <w:shd w:val="clear" w:color="auto" w:fill="FFFFFF"/>
          <w:lang w:val="en-US" w:eastAsia="zh-CN"/>
        </w:rPr>
        <w:t>1名、</w:t>
      </w:r>
      <w:r>
        <w:rPr>
          <w:rFonts w:hint="eastAsia" w:ascii="仿宋_GB2312" w:hAnsi="宋体" w:eastAsia="仿宋_GB2312" w:cs="宋体"/>
          <w:color w:val="000000"/>
          <w:kern w:val="0"/>
          <w:sz w:val="32"/>
          <w:szCs w:val="32"/>
          <w:shd w:val="clear" w:color="auto" w:fill="FFFFFF"/>
          <w:lang w:val="zh-CN"/>
        </w:rPr>
        <w:t>四级调研员</w:t>
      </w: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rPr>
        <w:t>名、科级领导干部</w:t>
      </w:r>
      <w:r>
        <w:rPr>
          <w:rFonts w:hint="eastAsia" w:ascii="仿宋_GB2312" w:hAnsi="宋体" w:eastAsia="仿宋_GB2312" w:cs="宋体"/>
          <w:color w:val="000000"/>
          <w:kern w:val="0"/>
          <w:sz w:val="32"/>
          <w:szCs w:val="32"/>
          <w:shd w:val="clear" w:color="auto" w:fill="FFFFFF"/>
          <w:lang w:val="en-US" w:eastAsia="zh-CN"/>
        </w:rPr>
        <w:t>11</w:t>
      </w:r>
      <w:r>
        <w:rPr>
          <w:rFonts w:hint="eastAsia" w:ascii="仿宋_GB2312" w:hAnsi="宋体" w:eastAsia="仿宋_GB2312" w:cs="宋体"/>
          <w:color w:val="000000"/>
          <w:kern w:val="0"/>
          <w:sz w:val="32"/>
          <w:szCs w:val="32"/>
          <w:shd w:val="clear" w:color="auto" w:fill="FFFFFF"/>
          <w:lang w:val="zh-CN"/>
        </w:rPr>
        <w:t>名，科级非领导干部</w:t>
      </w:r>
      <w:r>
        <w:rPr>
          <w:rFonts w:hint="eastAsia" w:ascii="仿宋_GB2312" w:hAnsi="宋体" w:eastAsia="仿宋_GB2312" w:cs="宋体"/>
          <w:color w:val="000000"/>
          <w:kern w:val="0"/>
          <w:sz w:val="32"/>
          <w:szCs w:val="32"/>
          <w:shd w:val="clear" w:color="auto" w:fill="FFFFFF"/>
          <w:lang w:val="en-US" w:eastAsia="zh-CN"/>
        </w:rPr>
        <w:t>5</w:t>
      </w:r>
      <w:r>
        <w:rPr>
          <w:rFonts w:hint="eastAsia" w:ascii="仿宋_GB2312" w:hAnsi="宋体" w:eastAsia="仿宋_GB2312" w:cs="宋体"/>
          <w:color w:val="000000"/>
          <w:kern w:val="0"/>
          <w:sz w:val="32"/>
          <w:szCs w:val="32"/>
          <w:shd w:val="clear" w:color="auto" w:fill="FFFFFF"/>
          <w:lang w:val="zh-CN"/>
        </w:rPr>
        <w:t>名，科员2名，工勤</w:t>
      </w:r>
      <w:r>
        <w:rPr>
          <w:rFonts w:hint="eastAsia" w:ascii="仿宋_GB2312" w:hAnsi="宋体" w:eastAsia="仿宋_GB2312" w:cs="宋体"/>
          <w:color w:val="000000"/>
          <w:kern w:val="0"/>
          <w:sz w:val="32"/>
          <w:szCs w:val="32"/>
          <w:shd w:val="clear" w:color="auto" w:fill="FFFFFF"/>
          <w:lang w:val="en-US" w:eastAsia="zh-CN"/>
        </w:rPr>
        <w:t>3</w:t>
      </w:r>
      <w:r>
        <w:rPr>
          <w:rFonts w:hint="eastAsia" w:ascii="仿宋_GB2312" w:hAnsi="宋体" w:eastAsia="仿宋_GB2312" w:cs="宋体"/>
          <w:color w:val="000000"/>
          <w:kern w:val="0"/>
          <w:sz w:val="32"/>
          <w:szCs w:val="32"/>
          <w:shd w:val="clear" w:color="auto" w:fill="FFFFFF"/>
          <w:lang w:val="zh-CN"/>
        </w:rPr>
        <w:t>名</w:t>
      </w:r>
      <w:r>
        <w:rPr>
          <w:rFonts w:hint="eastAsia" w:ascii="仿宋_GB2312" w:hAnsi="宋体"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zh-CN"/>
        </w:rPr>
        <w:t>退休人员2</w:t>
      </w:r>
      <w:r>
        <w:rPr>
          <w:rFonts w:hint="eastAsia" w:ascii="仿宋_GB2312" w:hAnsi="宋体"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人。</w:t>
      </w:r>
    </w:p>
    <w:p>
      <w:pPr>
        <w:widowControl/>
        <w:adjustRightInd w:val="0"/>
        <w:snapToGrid w:val="0"/>
        <w:spacing w:line="572" w:lineRule="exact"/>
        <w:ind w:firstLine="640" w:firstLineChars="200"/>
        <w:contextualSpacing/>
        <w:jc w:val="left"/>
        <w:rPr>
          <w:rFonts w:ascii="黑体" w:eastAsia="黑体" w:cs="宋体"/>
          <w:kern w:val="0"/>
          <w:sz w:val="32"/>
          <w:szCs w:val="32"/>
          <w:shd w:val="clear" w:color="auto" w:fill="FFFFFF"/>
        </w:rPr>
      </w:pPr>
      <w:r>
        <w:rPr>
          <w:rFonts w:hint="eastAsia" w:ascii="黑体" w:eastAsia="黑体" w:cs="宋体"/>
          <w:kern w:val="0"/>
          <w:sz w:val="32"/>
          <w:szCs w:val="32"/>
          <w:shd w:val="clear" w:color="auto" w:fill="FFFFFF"/>
        </w:rPr>
        <w:t>二、部门财政资金收支情况</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rPr>
      </w:pPr>
      <w:r>
        <w:rPr>
          <w:rFonts w:hint="eastAsia" w:ascii="楷体_GB2312" w:hAnsi="宋体" w:eastAsia="楷体_GB2312" w:cs="宋体"/>
          <w:color w:val="000000"/>
          <w:kern w:val="0"/>
          <w:sz w:val="32"/>
          <w:szCs w:val="32"/>
          <w:shd w:val="clear" w:color="auto" w:fill="FFFFFF"/>
          <w:lang w:val="zh-CN"/>
        </w:rPr>
        <w:t>（一）部门财政资金收入情况。</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lang w:val="zh-CN"/>
        </w:rPr>
      </w:pPr>
      <w:r>
        <w:rPr>
          <w:rFonts w:hint="eastAsia" w:ascii="仿宋_GB2312" w:eastAsia="仿宋_GB2312"/>
          <w:color w:val="000000"/>
          <w:sz w:val="32"/>
          <w:szCs w:val="32"/>
          <w:shd w:val="clear" w:color="auto" w:fill="FFFFFF"/>
          <w:lang w:val="zh-CN"/>
        </w:rPr>
        <w:t>按照综合预算的原则，阿坝州档案馆所有收入和支出均纳入部门预算管理。</w:t>
      </w:r>
      <w:r>
        <w:rPr>
          <w:rFonts w:hint="eastAsia" w:ascii="仿宋_GB2312" w:eastAsia="仿宋_GB2312"/>
          <w:color w:val="000000"/>
          <w:sz w:val="32"/>
          <w:szCs w:val="32"/>
          <w:shd w:val="clear" w:color="auto" w:fill="FFFFFF"/>
          <w:lang w:val="en-US" w:eastAsia="zh-CN"/>
        </w:rPr>
        <w:t>2021年</w:t>
      </w:r>
      <w:r>
        <w:rPr>
          <w:rFonts w:hint="eastAsia" w:ascii="仿宋_GB2312" w:eastAsia="仿宋_GB2312"/>
          <w:color w:val="000000"/>
          <w:sz w:val="32"/>
          <w:szCs w:val="32"/>
          <w:shd w:val="clear" w:color="auto" w:fill="FFFFFF"/>
          <w:lang w:val="zh-CN"/>
        </w:rPr>
        <w:t>收入决算数为</w:t>
      </w:r>
      <w:r>
        <w:rPr>
          <w:rFonts w:hint="eastAsia" w:ascii="仿宋_GB2312" w:eastAsia="仿宋_GB2312"/>
          <w:color w:val="000000"/>
          <w:sz w:val="32"/>
          <w:szCs w:val="32"/>
          <w:shd w:val="clear" w:color="auto" w:fill="FFFFFF"/>
          <w:lang w:val="en-US" w:eastAsia="zh-CN"/>
        </w:rPr>
        <w:t>895.29</w:t>
      </w:r>
      <w:r>
        <w:rPr>
          <w:rFonts w:hint="eastAsia" w:ascii="仿宋_GB2312" w:eastAsia="仿宋_GB2312"/>
          <w:color w:val="000000"/>
          <w:sz w:val="32"/>
          <w:szCs w:val="32"/>
          <w:shd w:val="clear" w:color="auto" w:fill="FFFFFF"/>
          <w:lang w:val="zh-CN"/>
        </w:rPr>
        <w:t>万元，预算完成度为100.00%。一般公共预算财政拨款收入相比上年度</w:t>
      </w:r>
      <w:r>
        <w:rPr>
          <w:rFonts w:hint="eastAsia" w:ascii="仿宋_GB2312" w:eastAsia="仿宋_GB2312"/>
          <w:color w:val="000000"/>
          <w:sz w:val="32"/>
          <w:szCs w:val="32"/>
          <w:shd w:val="clear" w:color="auto" w:fill="FFFFFF"/>
          <w:lang w:val="en-US" w:eastAsia="zh-CN"/>
        </w:rPr>
        <w:t>增加</w:t>
      </w:r>
      <w:r>
        <w:rPr>
          <w:rFonts w:hint="eastAsia" w:ascii="仿宋_GB2312" w:eastAsia="仿宋_GB2312"/>
          <w:color w:val="000000"/>
          <w:sz w:val="32"/>
          <w:szCs w:val="32"/>
          <w:shd w:val="clear" w:color="auto" w:fill="FFFFFF"/>
          <w:lang w:val="zh-CN"/>
        </w:rPr>
        <w:t>增加-293.79万元</w:t>
      </w:r>
      <w:r>
        <w:rPr>
          <w:rFonts w:hint="eastAsia" w:ascii="仿宋_GB2312" w:eastAsia="仿宋_GB2312"/>
          <w:color w:val="000000"/>
          <w:sz w:val="32"/>
          <w:szCs w:val="32"/>
          <w:shd w:val="clear" w:color="auto" w:fill="FFFFFF"/>
          <w:lang w:val="en-US" w:eastAsia="zh-CN"/>
        </w:rPr>
        <w:t>，主要</w:t>
      </w:r>
      <w:r>
        <w:rPr>
          <w:rFonts w:hint="eastAsia" w:ascii="仿宋_GB2312" w:eastAsia="仿宋_GB2312"/>
          <w:color w:val="000000"/>
          <w:sz w:val="32"/>
          <w:szCs w:val="32"/>
          <w:shd w:val="clear" w:color="auto" w:fill="FFFFFF"/>
          <w:lang w:val="zh-CN"/>
        </w:rPr>
        <w:t>原因为</w:t>
      </w:r>
      <w:r>
        <w:rPr>
          <w:rFonts w:hint="eastAsia" w:ascii="仿宋_GB2312" w:eastAsia="仿宋_GB2312"/>
          <w:color w:val="000000"/>
          <w:sz w:val="32"/>
          <w:szCs w:val="32"/>
          <w:shd w:val="clear" w:color="auto" w:fill="FFFFFF"/>
          <w:lang w:val="en-US" w:eastAsia="zh-CN"/>
        </w:rPr>
        <w:t>2021</w:t>
      </w:r>
      <w:r>
        <w:rPr>
          <w:rFonts w:hint="eastAsia" w:ascii="仿宋_GB2312" w:eastAsia="仿宋_GB2312"/>
          <w:color w:val="000000"/>
          <w:sz w:val="32"/>
          <w:szCs w:val="32"/>
          <w:shd w:val="clear" w:color="auto" w:fill="FFFFFF"/>
          <w:lang w:val="zh-CN"/>
        </w:rPr>
        <w:t>年度</w:t>
      </w:r>
      <w:r>
        <w:rPr>
          <w:rFonts w:hint="eastAsia" w:ascii="仿宋_GB2312" w:eastAsia="仿宋_GB2312"/>
          <w:color w:val="000000"/>
          <w:sz w:val="32"/>
          <w:szCs w:val="32"/>
          <w:shd w:val="clear" w:color="auto" w:fill="FFFFFF"/>
          <w:lang w:val="en-US" w:eastAsia="zh-CN"/>
        </w:rPr>
        <w:t>新增两名职工且今年补发2020年目标绩效奖金，2021年我单位新购进一辆公务用车价值59.6万元，同时</w:t>
      </w:r>
      <w:r>
        <w:rPr>
          <w:rFonts w:hint="eastAsia" w:ascii="仿宋_GB2312" w:eastAsia="仿宋_GB2312"/>
          <w:color w:val="000000"/>
          <w:sz w:val="32"/>
          <w:szCs w:val="32"/>
          <w:shd w:val="clear" w:color="auto" w:fill="FFFFFF"/>
          <w:lang w:val="zh-CN"/>
        </w:rPr>
        <w:t>上年度我单位浙江援建爱教基地项目支出408.03万元，新建档案馆中央预算资金项目支出89万，</w:t>
      </w:r>
      <w:r>
        <w:rPr>
          <w:rFonts w:hint="eastAsia" w:ascii="仿宋_GB2312" w:eastAsia="仿宋_GB2312"/>
          <w:color w:val="000000"/>
          <w:sz w:val="32"/>
          <w:szCs w:val="32"/>
          <w:shd w:val="clear" w:color="auto" w:fill="FFFFFF"/>
          <w:lang w:val="en-US" w:eastAsia="zh-CN"/>
        </w:rPr>
        <w:t>2021</w:t>
      </w:r>
      <w:r>
        <w:rPr>
          <w:rFonts w:hint="eastAsia" w:ascii="仿宋_GB2312" w:eastAsia="仿宋_GB2312"/>
          <w:color w:val="000000"/>
          <w:sz w:val="32"/>
          <w:szCs w:val="32"/>
          <w:shd w:val="clear" w:color="auto" w:fill="FFFFFF"/>
          <w:lang w:val="zh-CN"/>
        </w:rPr>
        <w:t>年度浙江援建爱教基地项目支出19.56万元，新建档案馆中央预算资金项目支出95.16万元，同时我单位档案库房空调采购支出19.8万元、举办“档案史料展”支出18.9万元</w:t>
      </w:r>
      <w:r>
        <w:rPr>
          <w:rFonts w:hint="eastAsia" w:ascii="仿宋_GB2312" w:eastAsia="仿宋_GB2312"/>
          <w:color w:val="000000"/>
          <w:sz w:val="32"/>
          <w:szCs w:val="32"/>
          <w:shd w:val="clear" w:color="auto" w:fill="FFFFFF"/>
          <w:lang w:val="en-US" w:eastAsia="zh-CN"/>
        </w:rPr>
        <w:t>，</w:t>
      </w:r>
      <w:r>
        <w:rPr>
          <w:rFonts w:hint="eastAsia" w:ascii="仿宋_GB2312" w:eastAsia="仿宋_GB2312"/>
          <w:color w:val="000000"/>
          <w:sz w:val="32"/>
          <w:szCs w:val="32"/>
          <w:shd w:val="clear" w:color="auto" w:fill="FFFFFF"/>
          <w:lang w:val="zh-CN"/>
        </w:rPr>
        <w:t>其他基本持平。</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rPr>
      </w:pPr>
      <w:r>
        <w:rPr>
          <w:rFonts w:hint="eastAsia" w:ascii="楷体_GB2312" w:hAnsi="宋体" w:eastAsia="楷体_GB2312" w:cs="宋体"/>
          <w:color w:val="000000"/>
          <w:kern w:val="0"/>
          <w:sz w:val="32"/>
          <w:szCs w:val="32"/>
          <w:shd w:val="clear" w:color="auto" w:fill="FFFFFF"/>
          <w:lang w:val="zh-CN"/>
        </w:rPr>
        <w:t>（</w:t>
      </w:r>
      <w:r>
        <w:rPr>
          <w:rFonts w:hint="eastAsia" w:ascii="楷体_GB2312" w:hAnsi="宋体" w:eastAsia="楷体_GB2312" w:cs="宋体"/>
          <w:color w:val="000000"/>
          <w:kern w:val="0"/>
          <w:sz w:val="32"/>
          <w:szCs w:val="32"/>
          <w:shd w:val="clear" w:color="auto" w:fill="FFFFFF"/>
          <w:lang w:val="en-US" w:eastAsia="zh-CN"/>
        </w:rPr>
        <w:t>二</w:t>
      </w:r>
      <w:r>
        <w:rPr>
          <w:rFonts w:hint="eastAsia" w:ascii="楷体_GB2312" w:hAnsi="宋体" w:eastAsia="楷体_GB2312" w:cs="宋体"/>
          <w:color w:val="000000"/>
          <w:kern w:val="0"/>
          <w:sz w:val="32"/>
          <w:szCs w:val="32"/>
          <w:shd w:val="clear" w:color="auto" w:fill="FFFFFF"/>
          <w:lang w:val="zh-CN"/>
        </w:rPr>
        <w:t>）部门财政资金支出情况。</w:t>
      </w:r>
    </w:p>
    <w:p>
      <w:pPr>
        <w:keepNext w:val="0"/>
        <w:keepLines w:val="0"/>
        <w:pageBreakBefore w:val="0"/>
        <w:widowControl/>
        <w:kinsoku/>
        <w:wordWrap/>
        <w:overflowPunct/>
        <w:topLinePunct w:val="0"/>
        <w:bidi w:val="0"/>
        <w:adjustRightInd w:val="0"/>
        <w:snapToGrid w:val="0"/>
        <w:spacing w:beforeAutospacing="0" w:afterAutospacing="0" w:line="560" w:lineRule="exact"/>
        <w:ind w:firstLine="640" w:firstLineChars="200"/>
        <w:jc w:val="left"/>
        <w:textAlignment w:val="auto"/>
        <w:rPr>
          <w:rFonts w:hint="eastAsia" w:ascii="仿宋_GB2312"/>
          <w:color w:val="000000"/>
          <w:sz w:val="32"/>
          <w:szCs w:val="32"/>
          <w:shd w:val="clear" w:color="auto" w:fill="FFFFFF"/>
          <w:lang w:val="zh-CN"/>
        </w:rPr>
      </w:pPr>
      <w:r>
        <w:rPr>
          <w:rFonts w:hint="eastAsia" w:ascii="仿宋_GB2312" w:hAnsi="仿宋" w:eastAsia="仿宋_GB2312" w:cs="Times New Roman"/>
          <w:sz w:val="32"/>
          <w:szCs w:val="32"/>
        </w:rPr>
        <w:t>2</w:t>
      </w:r>
      <w:r>
        <w:rPr>
          <w:rFonts w:hint="eastAsia" w:ascii="仿宋_GB2312" w:eastAsia="仿宋_GB2312"/>
          <w:color w:val="000000"/>
          <w:sz w:val="32"/>
          <w:szCs w:val="32"/>
          <w:shd w:val="clear" w:color="auto" w:fill="FFFFFF"/>
          <w:lang w:val="zh-CN"/>
        </w:rPr>
        <w:t>02</w:t>
      </w:r>
      <w:r>
        <w:rPr>
          <w:rFonts w:hint="eastAsia" w:ascii="仿宋_GB2312"/>
          <w:color w:val="000000"/>
          <w:sz w:val="32"/>
          <w:szCs w:val="32"/>
          <w:shd w:val="clear" w:color="auto" w:fill="FFFFFF"/>
          <w:lang w:val="en-US" w:eastAsia="zh-CN"/>
        </w:rPr>
        <w:t>1</w:t>
      </w:r>
      <w:r>
        <w:rPr>
          <w:rFonts w:hint="eastAsia" w:ascii="仿宋_GB2312" w:eastAsia="仿宋_GB2312"/>
          <w:color w:val="000000"/>
          <w:sz w:val="32"/>
          <w:szCs w:val="32"/>
          <w:shd w:val="clear" w:color="auto" w:fill="FFFFFF"/>
          <w:lang w:val="zh-CN"/>
        </w:rPr>
        <w:t>年度总支出为</w:t>
      </w:r>
      <w:r>
        <w:rPr>
          <w:rFonts w:hint="eastAsia" w:ascii="仿宋_GB2312"/>
          <w:color w:val="000000"/>
          <w:sz w:val="32"/>
          <w:szCs w:val="32"/>
          <w:shd w:val="clear" w:color="auto" w:fill="FFFFFF"/>
          <w:lang w:val="en-US" w:eastAsia="zh-CN"/>
        </w:rPr>
        <w:t>1010.01</w:t>
      </w:r>
      <w:r>
        <w:rPr>
          <w:rFonts w:hint="eastAsia" w:ascii="仿宋_GB2312" w:eastAsia="仿宋_GB2312"/>
          <w:color w:val="000000"/>
          <w:sz w:val="32"/>
          <w:szCs w:val="32"/>
          <w:shd w:val="clear" w:color="auto" w:fill="FFFFFF"/>
          <w:lang w:val="zh-CN"/>
        </w:rPr>
        <w:t>万元。</w:t>
      </w:r>
      <w:r>
        <w:rPr>
          <w:rFonts w:hint="eastAsia" w:ascii="仿宋_GB2312" w:eastAsia="仿宋_GB2312"/>
          <w:color w:val="000000"/>
          <w:sz w:val="32"/>
          <w:szCs w:val="32"/>
          <w:shd w:val="clear" w:color="auto" w:fill="FFFFFF"/>
          <w:lang w:val="en-US" w:eastAsia="zh-CN"/>
        </w:rPr>
        <w:t>财政拨款支出为</w:t>
      </w:r>
      <w:r>
        <w:rPr>
          <w:rFonts w:hint="eastAsia" w:ascii="仿宋_GB2312"/>
          <w:color w:val="000000"/>
          <w:sz w:val="32"/>
          <w:szCs w:val="32"/>
          <w:shd w:val="clear" w:color="auto" w:fill="FFFFFF"/>
          <w:lang w:val="en-US" w:eastAsia="zh-CN"/>
        </w:rPr>
        <w:t>914.85万元，</w:t>
      </w:r>
      <w:r>
        <w:rPr>
          <w:rFonts w:hint="eastAsia" w:ascii="仿宋_GB2312" w:eastAsia="仿宋_GB2312"/>
          <w:color w:val="000000"/>
          <w:sz w:val="32"/>
          <w:szCs w:val="32"/>
          <w:shd w:val="clear" w:color="auto" w:fill="FFFFFF"/>
          <w:lang w:val="zh-CN"/>
        </w:rPr>
        <w:t>其中：一般公共服务支出为</w:t>
      </w:r>
      <w:r>
        <w:rPr>
          <w:rFonts w:hint="eastAsia" w:ascii="仿宋_GB2312"/>
          <w:color w:val="000000"/>
          <w:sz w:val="32"/>
          <w:szCs w:val="32"/>
          <w:shd w:val="clear" w:color="auto" w:fill="FFFFFF"/>
          <w:lang w:val="en-US" w:eastAsia="zh-CN"/>
        </w:rPr>
        <w:t>778.18万</w:t>
      </w:r>
      <w:r>
        <w:rPr>
          <w:rFonts w:hint="eastAsia" w:ascii="仿宋_GB2312" w:eastAsia="仿宋_GB2312"/>
          <w:color w:val="000000"/>
          <w:sz w:val="32"/>
          <w:szCs w:val="32"/>
          <w:shd w:val="clear" w:color="auto" w:fill="FFFFFF"/>
          <w:lang w:val="zh-CN"/>
        </w:rPr>
        <w:t>元，占比</w:t>
      </w:r>
      <w:r>
        <w:rPr>
          <w:rFonts w:hint="eastAsia" w:ascii="仿宋_GB2312"/>
          <w:color w:val="000000"/>
          <w:sz w:val="32"/>
          <w:szCs w:val="32"/>
          <w:shd w:val="clear" w:color="auto" w:fill="FFFFFF"/>
          <w:lang w:val="en-US" w:eastAsia="zh-CN"/>
        </w:rPr>
        <w:t>85.06</w:t>
      </w:r>
      <w:r>
        <w:rPr>
          <w:rFonts w:hint="eastAsia" w:ascii="仿宋_GB2312" w:eastAsia="仿宋_GB2312"/>
          <w:color w:val="000000"/>
          <w:sz w:val="32"/>
          <w:szCs w:val="32"/>
          <w:shd w:val="clear" w:color="auto" w:fill="FFFFFF"/>
          <w:lang w:val="zh-CN"/>
        </w:rPr>
        <w:t>%；社会保障和就业支出为</w:t>
      </w:r>
      <w:r>
        <w:rPr>
          <w:rFonts w:hint="eastAsia" w:ascii="仿宋_GB2312"/>
          <w:color w:val="000000"/>
          <w:sz w:val="32"/>
          <w:szCs w:val="32"/>
          <w:shd w:val="clear" w:color="auto" w:fill="FFFFFF"/>
          <w:lang w:val="en-US" w:eastAsia="zh-CN"/>
        </w:rPr>
        <w:t>64.86</w:t>
      </w:r>
      <w:r>
        <w:rPr>
          <w:rFonts w:hint="eastAsia" w:ascii="仿宋_GB2312" w:eastAsia="仿宋_GB2312"/>
          <w:color w:val="000000"/>
          <w:sz w:val="32"/>
          <w:szCs w:val="32"/>
          <w:shd w:val="clear" w:color="auto" w:fill="FFFFFF"/>
          <w:lang w:val="zh-CN"/>
        </w:rPr>
        <w:t>万元，占比</w:t>
      </w:r>
      <w:r>
        <w:rPr>
          <w:rFonts w:hint="eastAsia" w:ascii="仿宋_GB2312"/>
          <w:color w:val="000000"/>
          <w:sz w:val="32"/>
          <w:szCs w:val="32"/>
          <w:shd w:val="clear" w:color="auto" w:fill="FFFFFF"/>
          <w:lang w:val="en-US" w:eastAsia="zh-CN"/>
        </w:rPr>
        <w:t>7.09</w:t>
      </w:r>
      <w:r>
        <w:rPr>
          <w:rFonts w:hint="eastAsia" w:ascii="仿宋_GB2312" w:eastAsia="仿宋_GB2312"/>
          <w:color w:val="000000"/>
          <w:sz w:val="32"/>
          <w:szCs w:val="32"/>
          <w:shd w:val="clear" w:color="auto" w:fill="FFFFFF"/>
          <w:lang w:val="zh-CN"/>
        </w:rPr>
        <w:t>%；卫生健康支出为</w:t>
      </w:r>
      <w:r>
        <w:rPr>
          <w:rFonts w:hint="eastAsia" w:ascii="仿宋_GB2312"/>
          <w:color w:val="000000"/>
          <w:sz w:val="32"/>
          <w:szCs w:val="32"/>
          <w:shd w:val="clear" w:color="auto" w:fill="FFFFFF"/>
          <w:lang w:val="en-US" w:eastAsia="zh-CN"/>
        </w:rPr>
        <w:t>29.92</w:t>
      </w:r>
      <w:r>
        <w:rPr>
          <w:rFonts w:hint="eastAsia" w:ascii="仿宋_GB2312" w:eastAsia="仿宋_GB2312"/>
          <w:color w:val="000000"/>
          <w:sz w:val="32"/>
          <w:szCs w:val="32"/>
          <w:shd w:val="clear" w:color="auto" w:fill="FFFFFF"/>
          <w:lang w:val="zh-CN"/>
        </w:rPr>
        <w:t>万元，占比</w:t>
      </w:r>
      <w:r>
        <w:rPr>
          <w:rFonts w:hint="eastAsia" w:ascii="仿宋_GB2312"/>
          <w:color w:val="000000"/>
          <w:sz w:val="32"/>
          <w:szCs w:val="32"/>
          <w:shd w:val="clear" w:color="auto" w:fill="FFFFFF"/>
          <w:lang w:val="en-US" w:eastAsia="zh-CN"/>
        </w:rPr>
        <w:t>3.27</w:t>
      </w:r>
      <w:r>
        <w:rPr>
          <w:rFonts w:hint="eastAsia" w:ascii="仿宋_GB2312" w:eastAsia="仿宋_GB2312"/>
          <w:color w:val="000000"/>
          <w:sz w:val="32"/>
          <w:szCs w:val="32"/>
          <w:shd w:val="clear" w:color="auto" w:fill="FFFFFF"/>
          <w:lang w:val="zh-CN"/>
        </w:rPr>
        <w:t>%；；住房保障支出为</w:t>
      </w:r>
      <w:r>
        <w:rPr>
          <w:rFonts w:hint="eastAsia" w:ascii="仿宋_GB2312"/>
          <w:color w:val="000000"/>
          <w:sz w:val="32"/>
          <w:szCs w:val="32"/>
          <w:shd w:val="clear" w:color="auto" w:fill="FFFFFF"/>
          <w:lang w:val="en-US" w:eastAsia="zh-CN"/>
        </w:rPr>
        <w:t>41.89</w:t>
      </w:r>
      <w:r>
        <w:rPr>
          <w:rFonts w:hint="eastAsia" w:ascii="仿宋_GB2312" w:eastAsia="仿宋_GB2312"/>
          <w:color w:val="000000"/>
          <w:sz w:val="32"/>
          <w:szCs w:val="32"/>
          <w:shd w:val="clear" w:color="auto" w:fill="FFFFFF"/>
          <w:lang w:val="zh-CN"/>
        </w:rPr>
        <w:t>万元，占比</w:t>
      </w:r>
      <w:r>
        <w:rPr>
          <w:rFonts w:hint="eastAsia" w:ascii="仿宋_GB2312"/>
          <w:color w:val="000000"/>
          <w:sz w:val="32"/>
          <w:szCs w:val="32"/>
          <w:shd w:val="clear" w:color="auto" w:fill="FFFFFF"/>
          <w:lang w:val="en-US" w:eastAsia="zh-CN"/>
        </w:rPr>
        <w:t>4.58</w:t>
      </w:r>
      <w:r>
        <w:rPr>
          <w:rFonts w:hint="eastAsia" w:ascii="仿宋_GB2312" w:eastAsia="仿宋_GB2312"/>
          <w:color w:val="000000"/>
          <w:sz w:val="32"/>
          <w:szCs w:val="32"/>
          <w:shd w:val="clear" w:color="auto" w:fill="FFFFFF"/>
          <w:lang w:val="zh-CN"/>
        </w:rPr>
        <w:t>%</w:t>
      </w:r>
      <w:r>
        <w:rPr>
          <w:rFonts w:hint="eastAsia" w:ascii="仿宋_GB2312"/>
          <w:color w:val="000000"/>
          <w:sz w:val="32"/>
          <w:szCs w:val="32"/>
          <w:shd w:val="clear" w:color="auto" w:fill="FFFFFF"/>
          <w:lang w:val="zh-CN"/>
        </w:rPr>
        <w:t>。</w:t>
      </w:r>
    </w:p>
    <w:p>
      <w:pPr>
        <w:pStyle w:val="16"/>
        <w:keepNext w:val="0"/>
        <w:keepLines w:val="0"/>
        <w:pageBreakBefore w:val="0"/>
        <w:numPr>
          <w:ilvl w:val="0"/>
          <w:numId w:val="0"/>
        </w:numPr>
        <w:shd w:val="clear" w:color="auto" w:fill="FFFFFF"/>
        <w:kinsoku/>
        <w:wordWrap/>
        <w:overflowPunct/>
        <w:topLinePunct w:val="0"/>
        <w:bidi w:val="0"/>
        <w:spacing w:before="0" w:beforeAutospacing="0" w:after="0" w:afterAutospacing="0" w:line="560" w:lineRule="exact"/>
        <w:ind w:right="0" w:rightChars="0" w:firstLine="642" w:firstLineChars="200"/>
        <w:textAlignment w:val="auto"/>
        <w:rPr>
          <w:rFonts w:hint="eastAsia" w:ascii="仿宋_GB2312" w:hAnsi="Times New Roman" w:eastAsia="仿宋_GB2312" w:cs="Times New Roman"/>
          <w:b/>
          <w:bCs/>
          <w:color w:val="000000"/>
          <w:kern w:val="2"/>
          <w:sz w:val="32"/>
          <w:szCs w:val="32"/>
          <w:shd w:val="clear" w:color="auto" w:fill="FFFFFF"/>
          <w:lang w:val="zh-CN" w:eastAsia="zh-CN" w:bidi="ar-SA"/>
        </w:rPr>
      </w:pPr>
      <w:r>
        <w:rPr>
          <w:rFonts w:hint="eastAsia" w:ascii="仿宋_GB2312" w:eastAsia="仿宋_GB2312" w:cs="Times New Roman"/>
          <w:b/>
          <w:bCs/>
          <w:color w:val="000000"/>
          <w:kern w:val="2"/>
          <w:sz w:val="32"/>
          <w:szCs w:val="32"/>
          <w:shd w:val="clear" w:color="auto" w:fill="FFFFFF"/>
          <w:lang w:val="en-US" w:eastAsia="zh-CN" w:bidi="ar-SA"/>
        </w:rPr>
        <w:t>1.</w:t>
      </w:r>
      <w:r>
        <w:rPr>
          <w:rFonts w:hint="eastAsia" w:ascii="仿宋_GB2312" w:hAnsi="Times New Roman" w:eastAsia="仿宋_GB2312" w:cs="Times New Roman"/>
          <w:b/>
          <w:bCs/>
          <w:color w:val="000000"/>
          <w:kern w:val="2"/>
          <w:sz w:val="32"/>
          <w:szCs w:val="32"/>
          <w:shd w:val="clear" w:color="auto" w:fill="FFFFFF"/>
          <w:lang w:val="zh-CN" w:eastAsia="zh-CN" w:bidi="ar-SA"/>
        </w:rPr>
        <w:t>“三公”经费支出情况</w:t>
      </w:r>
    </w:p>
    <w:p>
      <w:pPr>
        <w:pStyle w:val="16"/>
        <w:keepNext w:val="0"/>
        <w:keepLines w:val="0"/>
        <w:pageBreakBefore w:val="0"/>
        <w:numPr>
          <w:ilvl w:val="0"/>
          <w:numId w:val="0"/>
        </w:numPr>
        <w:shd w:val="clear" w:color="auto" w:fill="FFFFFF"/>
        <w:kinsoku/>
        <w:wordWrap/>
        <w:overflowPunct/>
        <w:topLinePunct w:val="0"/>
        <w:bidi w:val="0"/>
        <w:spacing w:before="0" w:beforeAutospacing="0" w:after="0" w:afterAutospacing="0" w:line="560" w:lineRule="exact"/>
        <w:ind w:firstLine="640" w:firstLineChars="200"/>
        <w:textAlignment w:val="auto"/>
        <w:rPr>
          <w:rFonts w:hint="eastAsia" w:ascii="仿宋_GB2312" w:hAnsi="Times New Roman" w:eastAsia="仿宋_GB2312" w:cs="Times New Roman"/>
          <w:color w:val="000000"/>
          <w:kern w:val="2"/>
          <w:sz w:val="32"/>
          <w:szCs w:val="32"/>
          <w:shd w:val="clear" w:color="auto" w:fill="FFFFFF"/>
          <w:lang w:val="zh-CN" w:eastAsia="zh-CN" w:bidi="ar-SA"/>
        </w:rPr>
      </w:pPr>
      <w:r>
        <w:rPr>
          <w:rFonts w:hint="eastAsia" w:ascii="仿宋_GB2312" w:hAnsi="Times New Roman" w:eastAsia="仿宋_GB2312" w:cs="Times New Roman"/>
          <w:color w:val="000000"/>
          <w:kern w:val="2"/>
          <w:sz w:val="32"/>
          <w:szCs w:val="32"/>
          <w:shd w:val="clear" w:color="auto" w:fill="FFFFFF"/>
          <w:lang w:val="zh-CN" w:eastAsia="zh-CN" w:bidi="ar-SA"/>
        </w:rPr>
        <w:t>本单位</w:t>
      </w:r>
      <w:r>
        <w:rPr>
          <w:rFonts w:hint="eastAsia" w:ascii="仿宋_GB2312" w:hAnsi="Times New Roman" w:eastAsia="仿宋_GB2312" w:cs="Times New Roman"/>
          <w:color w:val="000000"/>
          <w:kern w:val="2"/>
          <w:sz w:val="32"/>
          <w:szCs w:val="32"/>
          <w:shd w:val="clear" w:color="auto" w:fill="FFFFFF"/>
          <w:lang w:val="en-US" w:eastAsia="zh-CN" w:bidi="ar-SA"/>
        </w:rPr>
        <w:t>2021年</w:t>
      </w:r>
      <w:r>
        <w:rPr>
          <w:rFonts w:hint="eastAsia" w:ascii="仿宋_GB2312" w:hAnsi="Times New Roman" w:eastAsia="仿宋_GB2312" w:cs="Times New Roman"/>
          <w:color w:val="000000"/>
          <w:kern w:val="2"/>
          <w:sz w:val="32"/>
          <w:szCs w:val="32"/>
          <w:shd w:val="clear" w:color="auto" w:fill="FFFFFF"/>
          <w:lang w:val="zh-CN" w:eastAsia="zh-CN" w:bidi="ar-SA"/>
        </w:rPr>
        <w:t>度“三公”经费支出决算数为70.44万元。其中:因公出国（境）费支出决算数为0.00万元，相比上年度增加0.00万元，公务用车购置及运行维护费支出决算数为70.44万元，相比上年度增加58.92万元，主要原因为</w:t>
      </w:r>
      <w:r>
        <w:rPr>
          <w:rFonts w:hint="eastAsia" w:ascii="仿宋_GB2312" w:hAnsi="Times New Roman" w:eastAsia="仿宋_GB2312" w:cs="Times New Roman"/>
          <w:color w:val="000000"/>
          <w:kern w:val="2"/>
          <w:sz w:val="32"/>
          <w:szCs w:val="32"/>
          <w:shd w:val="clear" w:color="auto" w:fill="FFFFFF"/>
          <w:lang w:val="en-US" w:eastAsia="zh-CN" w:bidi="ar-SA"/>
        </w:rPr>
        <w:t>2021</w:t>
      </w:r>
      <w:r>
        <w:rPr>
          <w:rFonts w:hint="eastAsia" w:ascii="仿宋_GB2312" w:hAnsi="Times New Roman" w:eastAsia="仿宋_GB2312" w:cs="Times New Roman"/>
          <w:color w:val="000000"/>
          <w:kern w:val="2"/>
          <w:sz w:val="32"/>
          <w:szCs w:val="32"/>
          <w:shd w:val="clear" w:color="auto" w:fill="FFFFFF"/>
          <w:lang w:val="zh-CN" w:eastAsia="zh-CN" w:bidi="ar-SA"/>
        </w:rPr>
        <w:t>年度我单位采购一辆公务用车价值59.6万元，同时我单位厉行节俭；公务接待费支出决算数为0.00万元，相比上年度增加-0.90万元，主要原因为</w:t>
      </w:r>
      <w:r>
        <w:rPr>
          <w:rFonts w:hint="eastAsia" w:ascii="仿宋_GB2312" w:hAnsi="Times New Roman" w:eastAsia="仿宋_GB2312" w:cs="Times New Roman"/>
          <w:color w:val="000000"/>
          <w:kern w:val="2"/>
          <w:sz w:val="32"/>
          <w:szCs w:val="32"/>
          <w:shd w:val="clear" w:color="auto" w:fill="FFFFFF"/>
          <w:lang w:val="en-US" w:eastAsia="zh-CN" w:bidi="ar-SA"/>
        </w:rPr>
        <w:t>2021</w:t>
      </w:r>
      <w:r>
        <w:rPr>
          <w:rFonts w:hint="eastAsia" w:ascii="仿宋_GB2312" w:hAnsi="Times New Roman" w:eastAsia="仿宋_GB2312" w:cs="Times New Roman"/>
          <w:color w:val="000000"/>
          <w:kern w:val="2"/>
          <w:sz w:val="32"/>
          <w:szCs w:val="32"/>
          <w:shd w:val="clear" w:color="auto" w:fill="FFFFFF"/>
          <w:lang w:val="zh-CN" w:eastAsia="zh-CN" w:bidi="ar-SA"/>
        </w:rPr>
        <w:t>年度受疫情影响，单位严格按照疫情防控要求，减少公务接待，较去年减少。</w:t>
      </w:r>
      <w:r>
        <w:rPr>
          <w:rFonts w:hint="eastAsia" w:ascii="仿宋_GB2312" w:hAnsi="Times New Roman" w:eastAsia="仿宋_GB2312" w:cs="Times New Roman"/>
          <w:color w:val="000000"/>
          <w:kern w:val="2"/>
          <w:sz w:val="32"/>
          <w:szCs w:val="32"/>
          <w:shd w:val="clear" w:color="auto" w:fill="FFFFFF"/>
          <w:lang w:val="en-US" w:eastAsia="zh-CN" w:bidi="ar-SA"/>
        </w:rPr>
        <w:t>2021</w:t>
      </w:r>
      <w:r>
        <w:rPr>
          <w:rFonts w:hint="eastAsia" w:ascii="仿宋_GB2312" w:hAnsi="Times New Roman" w:eastAsia="仿宋_GB2312" w:cs="Times New Roman"/>
          <w:color w:val="000000"/>
          <w:kern w:val="2"/>
          <w:sz w:val="32"/>
          <w:szCs w:val="32"/>
          <w:shd w:val="clear" w:color="auto" w:fill="FFFFFF"/>
          <w:lang w:val="zh-CN" w:eastAsia="zh-CN" w:bidi="ar-SA"/>
        </w:rPr>
        <w:t>年度“三公”经费支出预算数为70.44万元，决算数为70.44万元，预算完成度为100.00%。本年度因公出国（境）费人均支出为0.00万元，公务用车购置及运行维护费人均支出为2.52万元，公务接待费人均支出为0.00万元。</w:t>
      </w:r>
    </w:p>
    <w:p>
      <w:pPr>
        <w:pStyle w:val="16"/>
        <w:keepNext w:val="0"/>
        <w:keepLines w:val="0"/>
        <w:pageBreakBefore w:val="0"/>
        <w:numPr>
          <w:ilvl w:val="0"/>
          <w:numId w:val="0"/>
        </w:numPr>
        <w:shd w:val="clear" w:color="auto" w:fill="FFFFFF"/>
        <w:kinsoku/>
        <w:wordWrap/>
        <w:overflowPunct/>
        <w:topLinePunct w:val="0"/>
        <w:bidi w:val="0"/>
        <w:spacing w:before="0" w:beforeAutospacing="0" w:after="0" w:afterAutospacing="0" w:line="560" w:lineRule="exact"/>
        <w:ind w:firstLine="642" w:firstLineChars="200"/>
        <w:textAlignment w:val="auto"/>
        <w:rPr>
          <w:rFonts w:hint="eastAsia" w:ascii="仿宋_GB2312" w:hAnsi="Times New Roman" w:eastAsia="仿宋_GB2312" w:cs="Times New Roman"/>
          <w:b/>
          <w:bCs/>
          <w:color w:val="000000"/>
          <w:kern w:val="2"/>
          <w:sz w:val="32"/>
          <w:szCs w:val="32"/>
          <w:shd w:val="clear" w:color="auto" w:fill="FFFFFF"/>
          <w:lang w:val="zh-CN" w:eastAsia="zh-CN" w:bidi="ar-SA"/>
        </w:rPr>
      </w:pPr>
      <w:r>
        <w:rPr>
          <w:rFonts w:hint="eastAsia" w:ascii="仿宋_GB2312" w:eastAsia="仿宋_GB2312" w:cs="Times New Roman"/>
          <w:b/>
          <w:bCs/>
          <w:color w:val="000000"/>
          <w:kern w:val="2"/>
          <w:sz w:val="32"/>
          <w:szCs w:val="32"/>
          <w:shd w:val="clear" w:color="auto" w:fill="FFFFFF"/>
          <w:lang w:val="en-US" w:eastAsia="zh-CN" w:bidi="ar-SA"/>
        </w:rPr>
        <w:t>2.</w:t>
      </w:r>
      <w:r>
        <w:rPr>
          <w:rFonts w:hint="eastAsia" w:ascii="仿宋_GB2312" w:hAnsi="Times New Roman" w:eastAsia="仿宋_GB2312" w:cs="Times New Roman"/>
          <w:b/>
          <w:bCs/>
          <w:color w:val="000000"/>
          <w:kern w:val="2"/>
          <w:sz w:val="32"/>
          <w:szCs w:val="32"/>
          <w:shd w:val="clear" w:color="auto" w:fill="FFFFFF"/>
          <w:lang w:val="zh-CN" w:eastAsia="zh-CN" w:bidi="ar-SA"/>
        </w:rPr>
        <w:t>会议费支出情况</w:t>
      </w:r>
    </w:p>
    <w:p>
      <w:pPr>
        <w:pStyle w:val="16"/>
        <w:keepNext w:val="0"/>
        <w:keepLines w:val="0"/>
        <w:pageBreakBefore w:val="0"/>
        <w:shd w:val="clear" w:color="auto" w:fill="FFFFFF"/>
        <w:kinsoku/>
        <w:wordWrap/>
        <w:overflowPunct/>
        <w:topLinePunct w:val="0"/>
        <w:bidi w:val="0"/>
        <w:spacing w:before="0" w:beforeAutospacing="0" w:after="0" w:afterAutospacing="0" w:line="560" w:lineRule="exact"/>
        <w:ind w:firstLine="640" w:firstLineChars="200"/>
        <w:textAlignment w:val="auto"/>
        <w:rPr>
          <w:rFonts w:hint="eastAsia" w:ascii="仿宋_GB2312" w:hAnsi="Times New Roman" w:eastAsia="仿宋_GB2312" w:cs="Times New Roman"/>
          <w:color w:val="000000"/>
          <w:kern w:val="2"/>
          <w:sz w:val="32"/>
          <w:szCs w:val="32"/>
          <w:shd w:val="clear" w:color="auto" w:fill="FFFFFF"/>
          <w:lang w:val="zh-CN" w:eastAsia="zh-CN" w:bidi="ar-SA"/>
        </w:rPr>
      </w:pPr>
      <w:r>
        <w:rPr>
          <w:rFonts w:hint="eastAsia" w:ascii="仿宋_GB2312" w:hAnsi="Times New Roman" w:eastAsia="仿宋_GB2312" w:cs="Times New Roman"/>
          <w:color w:val="000000"/>
          <w:kern w:val="2"/>
          <w:sz w:val="32"/>
          <w:szCs w:val="32"/>
          <w:shd w:val="clear" w:color="auto" w:fill="FFFFFF"/>
          <w:lang w:val="zh-CN" w:eastAsia="zh-CN" w:bidi="ar-SA"/>
        </w:rPr>
        <w:t>本单位</w:t>
      </w:r>
      <w:r>
        <w:rPr>
          <w:rFonts w:hint="eastAsia" w:ascii="仿宋_GB2312" w:hAnsi="Times New Roman" w:eastAsia="仿宋_GB2312" w:cs="Times New Roman"/>
          <w:color w:val="000000"/>
          <w:kern w:val="2"/>
          <w:sz w:val="32"/>
          <w:szCs w:val="32"/>
          <w:shd w:val="clear" w:color="auto" w:fill="FFFFFF"/>
          <w:lang w:val="en-US" w:eastAsia="zh-CN" w:bidi="ar-SA"/>
        </w:rPr>
        <w:t>2021年</w:t>
      </w:r>
      <w:r>
        <w:rPr>
          <w:rFonts w:hint="eastAsia" w:ascii="仿宋_GB2312" w:hAnsi="Times New Roman" w:eastAsia="仿宋_GB2312" w:cs="Times New Roman"/>
          <w:color w:val="000000"/>
          <w:kern w:val="2"/>
          <w:sz w:val="32"/>
          <w:szCs w:val="32"/>
          <w:shd w:val="clear" w:color="auto" w:fill="FFFFFF"/>
          <w:lang w:val="zh-CN" w:eastAsia="zh-CN" w:bidi="ar-SA"/>
        </w:rPr>
        <w:t>度会议费支出决算数为0.00万元，相比上年度增加0.00万元；会议费人均支出为0.00万元。</w:t>
      </w:r>
    </w:p>
    <w:p>
      <w:pPr>
        <w:pStyle w:val="1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2" w:firstLineChars="200"/>
        <w:textAlignment w:val="auto"/>
        <w:rPr>
          <w:rFonts w:hint="eastAsia" w:ascii="仿宋_GB2312" w:hAnsi="Times New Roman" w:eastAsia="仿宋_GB2312" w:cs="Times New Roman"/>
          <w:b/>
          <w:bCs/>
          <w:color w:val="000000"/>
          <w:kern w:val="2"/>
          <w:sz w:val="32"/>
          <w:szCs w:val="32"/>
          <w:shd w:val="clear" w:color="auto" w:fill="FFFFFF"/>
          <w:lang w:val="zh-CN" w:eastAsia="zh-CN" w:bidi="ar-SA"/>
        </w:rPr>
      </w:pPr>
      <w:r>
        <w:rPr>
          <w:rFonts w:hint="eastAsia" w:ascii="仿宋_GB2312" w:eastAsia="仿宋_GB2312" w:cs="Times New Roman"/>
          <w:b/>
          <w:bCs/>
          <w:color w:val="000000"/>
          <w:kern w:val="2"/>
          <w:sz w:val="32"/>
          <w:szCs w:val="32"/>
          <w:shd w:val="clear" w:color="auto" w:fill="FFFFFF"/>
          <w:lang w:val="en-US" w:eastAsia="zh-CN" w:bidi="ar-SA"/>
        </w:rPr>
        <w:t>3.</w:t>
      </w:r>
      <w:r>
        <w:rPr>
          <w:rFonts w:hint="eastAsia" w:ascii="仿宋_GB2312" w:hAnsi="Times New Roman" w:eastAsia="仿宋_GB2312" w:cs="Times New Roman"/>
          <w:b/>
          <w:bCs/>
          <w:color w:val="000000"/>
          <w:kern w:val="2"/>
          <w:sz w:val="32"/>
          <w:szCs w:val="32"/>
          <w:shd w:val="clear" w:color="auto" w:fill="FFFFFF"/>
          <w:lang w:val="zh-CN" w:eastAsia="zh-CN" w:bidi="ar-SA"/>
        </w:rPr>
        <w:t>培训费支出情况</w:t>
      </w:r>
    </w:p>
    <w:p>
      <w:pPr>
        <w:pStyle w:val="1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000000"/>
          <w:kern w:val="2"/>
          <w:sz w:val="32"/>
          <w:szCs w:val="32"/>
          <w:shd w:val="clear" w:color="auto" w:fill="FFFFFF"/>
          <w:lang w:val="zh-CN" w:eastAsia="zh-CN" w:bidi="ar-SA"/>
        </w:rPr>
      </w:pPr>
      <w:r>
        <w:rPr>
          <w:rFonts w:hint="eastAsia" w:ascii="仿宋_GB2312" w:hAnsi="Times New Roman" w:eastAsia="仿宋_GB2312" w:cs="Times New Roman"/>
          <w:color w:val="000000"/>
          <w:kern w:val="2"/>
          <w:sz w:val="32"/>
          <w:szCs w:val="32"/>
          <w:shd w:val="clear" w:color="auto" w:fill="FFFFFF"/>
          <w:lang w:val="zh-CN" w:eastAsia="zh-CN" w:bidi="ar-SA"/>
        </w:rPr>
        <w:t>本单位</w:t>
      </w:r>
      <w:r>
        <w:rPr>
          <w:rFonts w:hint="eastAsia" w:ascii="仿宋_GB2312" w:hAnsi="Times New Roman" w:eastAsia="仿宋_GB2312" w:cs="Times New Roman"/>
          <w:color w:val="000000"/>
          <w:kern w:val="2"/>
          <w:sz w:val="32"/>
          <w:szCs w:val="32"/>
          <w:shd w:val="clear" w:color="auto" w:fill="FFFFFF"/>
          <w:lang w:val="en-US" w:eastAsia="zh-CN" w:bidi="ar-SA"/>
        </w:rPr>
        <w:t>2021年</w:t>
      </w:r>
      <w:r>
        <w:rPr>
          <w:rFonts w:hint="eastAsia" w:ascii="仿宋_GB2312" w:hAnsi="Times New Roman" w:eastAsia="仿宋_GB2312" w:cs="Times New Roman"/>
          <w:color w:val="000000"/>
          <w:kern w:val="2"/>
          <w:sz w:val="32"/>
          <w:szCs w:val="32"/>
          <w:shd w:val="clear" w:color="auto" w:fill="FFFFFF"/>
          <w:lang w:val="zh-CN" w:eastAsia="zh-CN" w:bidi="ar-SA"/>
        </w:rPr>
        <w:t>度培训费支出决算数为0.46万元，相比上年度增加0.28万元，主要原因为1.</w:t>
      </w:r>
      <w:r>
        <w:rPr>
          <w:rFonts w:hint="eastAsia" w:ascii="仿宋_GB2312" w:hAnsi="Times New Roman" w:eastAsia="仿宋_GB2312" w:cs="Times New Roman"/>
          <w:color w:val="000000"/>
          <w:kern w:val="2"/>
          <w:sz w:val="32"/>
          <w:szCs w:val="32"/>
          <w:shd w:val="clear" w:color="auto" w:fill="FFFFFF"/>
          <w:lang w:val="en-US" w:eastAsia="zh-CN" w:bidi="ar-SA"/>
        </w:rPr>
        <w:t>2021</w:t>
      </w:r>
      <w:r>
        <w:rPr>
          <w:rFonts w:hint="eastAsia" w:ascii="仿宋_GB2312" w:hAnsi="Times New Roman" w:eastAsia="仿宋_GB2312" w:cs="Times New Roman"/>
          <w:color w:val="000000"/>
          <w:kern w:val="2"/>
          <w:sz w:val="32"/>
          <w:szCs w:val="32"/>
          <w:shd w:val="clear" w:color="auto" w:fill="FFFFFF"/>
          <w:lang w:val="zh-CN" w:eastAsia="zh-CN" w:bidi="ar-SA"/>
        </w:rPr>
        <w:t>年度按照财政部要求参加一体化平台培训，培训费3360元；2.按照川档教【2021】3号文件要求参加专题培训支出1220元培训费；3.按照阿工委发【2021】26号文件要求参加培训需做核酸检测，检查费60元。较上年增加；培训费人均支出为0.02万元。</w:t>
      </w:r>
    </w:p>
    <w:p>
      <w:pPr>
        <w:pStyle w:val="1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2" w:firstLineChars="200"/>
        <w:textAlignment w:val="auto"/>
        <w:rPr>
          <w:rFonts w:hint="eastAsia" w:ascii="仿宋_GB2312" w:hAnsi="Times New Roman" w:eastAsia="仿宋_GB2312" w:cs="Times New Roman"/>
          <w:b/>
          <w:bCs/>
          <w:color w:val="000000"/>
          <w:kern w:val="2"/>
          <w:sz w:val="32"/>
          <w:szCs w:val="32"/>
          <w:shd w:val="clear" w:color="auto" w:fill="FFFFFF"/>
          <w:lang w:val="zh-CN" w:eastAsia="zh-CN" w:bidi="ar-SA"/>
        </w:rPr>
      </w:pPr>
      <w:r>
        <w:rPr>
          <w:rFonts w:hint="eastAsia" w:ascii="仿宋_GB2312" w:eastAsia="仿宋_GB2312" w:cs="Times New Roman"/>
          <w:b/>
          <w:bCs/>
          <w:color w:val="000000"/>
          <w:kern w:val="2"/>
          <w:sz w:val="32"/>
          <w:szCs w:val="32"/>
          <w:shd w:val="clear" w:color="auto" w:fill="FFFFFF"/>
          <w:lang w:val="en-US" w:eastAsia="zh-CN" w:bidi="ar-SA"/>
        </w:rPr>
        <w:t>4.</w:t>
      </w:r>
      <w:r>
        <w:rPr>
          <w:rFonts w:hint="eastAsia" w:ascii="仿宋_GB2312" w:hAnsi="Times New Roman" w:eastAsia="仿宋_GB2312" w:cs="Times New Roman"/>
          <w:b/>
          <w:bCs/>
          <w:color w:val="000000"/>
          <w:kern w:val="2"/>
          <w:sz w:val="32"/>
          <w:szCs w:val="32"/>
          <w:shd w:val="clear" w:color="auto" w:fill="FFFFFF"/>
          <w:lang w:val="zh-CN" w:eastAsia="zh-CN" w:bidi="ar-SA"/>
        </w:rPr>
        <w:t>其他对单位影响较大的支出情况</w:t>
      </w:r>
    </w:p>
    <w:p>
      <w:pPr>
        <w:pStyle w:val="1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000000"/>
          <w:kern w:val="2"/>
          <w:sz w:val="32"/>
          <w:szCs w:val="32"/>
          <w:shd w:val="clear" w:color="auto" w:fill="FFFFFF"/>
          <w:lang w:val="zh-CN" w:eastAsia="zh-CN" w:bidi="ar-SA"/>
        </w:rPr>
      </w:pPr>
      <w:r>
        <w:rPr>
          <w:rFonts w:hint="eastAsia" w:ascii="仿宋_GB2312" w:hAnsi="Times New Roman" w:eastAsia="仿宋_GB2312" w:cs="Times New Roman"/>
          <w:color w:val="000000"/>
          <w:kern w:val="2"/>
          <w:sz w:val="32"/>
          <w:szCs w:val="32"/>
          <w:shd w:val="clear" w:color="auto" w:fill="FFFFFF"/>
          <w:lang w:val="zh-CN" w:eastAsia="zh-CN" w:bidi="ar-SA"/>
        </w:rPr>
        <w:t>办公费支出情况；本单位</w:t>
      </w:r>
      <w:r>
        <w:rPr>
          <w:rFonts w:hint="eastAsia" w:ascii="仿宋_GB2312" w:hAnsi="Times New Roman" w:eastAsia="仿宋_GB2312" w:cs="Times New Roman"/>
          <w:color w:val="000000"/>
          <w:kern w:val="2"/>
          <w:sz w:val="32"/>
          <w:szCs w:val="32"/>
          <w:shd w:val="clear" w:color="auto" w:fill="FFFFFF"/>
          <w:lang w:val="en-US" w:eastAsia="zh-CN" w:bidi="ar-SA"/>
        </w:rPr>
        <w:t>2021</w:t>
      </w:r>
      <w:r>
        <w:rPr>
          <w:rFonts w:hint="eastAsia" w:ascii="仿宋_GB2312" w:hAnsi="Times New Roman" w:eastAsia="仿宋_GB2312" w:cs="Times New Roman"/>
          <w:color w:val="000000"/>
          <w:kern w:val="2"/>
          <w:sz w:val="32"/>
          <w:szCs w:val="32"/>
          <w:shd w:val="clear" w:color="auto" w:fill="FFFFFF"/>
          <w:lang w:val="zh-CN" w:eastAsia="zh-CN" w:bidi="ar-SA"/>
        </w:rPr>
        <w:t>年度办公费支出决算数为14.74万元，其中日常公务经费中支出4.61万元，档案查阅项目支出5万元，“庆祝中国共产党成立100周年档案史料展”项目支出5.13万元；咨询费5.05万元，其中日常公务经费中支出3.19万元，数字化档案馆建设支出1.56万元，其他一般公共服务支出0.3万元；电费13.49万元，其中日常公务经费中支出1.8万元，档案馆物业运转项目支出11.69万元；维修维护费4.7万元，日常公务经费中支出0.7万元，档案馆物业运转项目支出3万元，“庆祝中国共产党成立100周年档案史料展”项目支出1万元,；专用材料费是单位征集档案项目用于实物档案征集产生的费用；房屋及建筑物是新建档案馆项目相关经费；办公设备购置费用25万元是档案馆库房空调项目和“庆祝中国共产党成立100周年档案史料展”项目费用。</w:t>
      </w:r>
    </w:p>
    <w:p>
      <w:pPr>
        <w:widowControl/>
        <w:adjustRightInd w:val="0"/>
        <w:snapToGrid w:val="0"/>
        <w:spacing w:line="572" w:lineRule="exact"/>
        <w:ind w:firstLine="640" w:firstLineChars="200"/>
        <w:contextualSpacing/>
        <w:jc w:val="left"/>
        <w:rPr>
          <w:rFonts w:ascii="黑体" w:eastAsia="黑体" w:cs="宋体"/>
          <w:kern w:val="0"/>
          <w:sz w:val="32"/>
          <w:szCs w:val="32"/>
          <w:shd w:val="clear" w:color="auto" w:fill="FFFFFF"/>
        </w:rPr>
      </w:pPr>
      <w:r>
        <w:rPr>
          <w:rFonts w:hint="eastAsia" w:ascii="黑体" w:eastAsia="黑体" w:cs="宋体"/>
          <w:kern w:val="0"/>
          <w:sz w:val="32"/>
          <w:szCs w:val="32"/>
          <w:shd w:val="clear" w:color="auto" w:fill="FFFFFF"/>
        </w:rPr>
        <w:t>三、部门整体预算绩效管理情况（涉及到有专项预算的部门，专项预算项目自评报告作为附件报送；特定目标类部门预算项目绩效目标自评表作为附表报送）</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rPr>
      </w:pPr>
      <w:r>
        <w:rPr>
          <w:rFonts w:hint="eastAsia" w:ascii="楷体_GB2312" w:hAnsi="宋体" w:eastAsia="楷体_GB2312" w:cs="宋体"/>
          <w:color w:val="000000"/>
          <w:kern w:val="0"/>
          <w:sz w:val="32"/>
          <w:szCs w:val="32"/>
          <w:shd w:val="clear" w:color="auto" w:fill="FFFFFF"/>
          <w:lang w:val="zh-CN"/>
        </w:rPr>
        <w:t>（一）部门预算项目绩效管理。</w:t>
      </w:r>
    </w:p>
    <w:p>
      <w:pPr>
        <w:pStyle w:val="1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000000"/>
          <w:kern w:val="2"/>
          <w:sz w:val="32"/>
          <w:szCs w:val="32"/>
          <w:shd w:val="clear" w:color="auto" w:fill="FFFFFF"/>
          <w:lang w:val="zh-CN" w:eastAsia="zh-CN" w:bidi="ar-SA"/>
        </w:rPr>
      </w:pPr>
      <w:r>
        <w:rPr>
          <w:rFonts w:hint="eastAsia" w:ascii="仿宋_GB2312" w:hAnsi="Times New Roman" w:eastAsia="仿宋_GB2312" w:cs="Times New Roman"/>
          <w:color w:val="000000"/>
          <w:kern w:val="2"/>
          <w:sz w:val="32"/>
          <w:szCs w:val="32"/>
          <w:shd w:val="clear" w:color="auto" w:fill="FFFFFF"/>
          <w:lang w:val="zh-CN" w:eastAsia="zh-CN" w:bidi="ar-SA"/>
        </w:rPr>
        <w:t>我单位将所有行政事业收入纳入年初预算编制，在编制预算时，尽量做到编制合理、准确、科学。尤其项目预算编制时，召集相关科室召开了专题会议，结合重点工作筛选项目，做到急需地、重要的先报，细化预算编制，以此确保所报预算项目能顺利实施；同时，按照《预算法》规定１月内分配上级专款的规定，结合各县实际，及时将州本级的50万元档案抢救和保护经费及进行了合理分配并报州财政局批准，有力推动全州档案事业健康发展。</w:t>
      </w:r>
    </w:p>
    <w:p>
      <w:pPr>
        <w:pStyle w:val="1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000000"/>
          <w:kern w:val="2"/>
          <w:sz w:val="32"/>
          <w:szCs w:val="32"/>
          <w:shd w:val="clear" w:color="auto" w:fill="FFFFFF"/>
          <w:lang w:val="zh-CN" w:eastAsia="zh-CN" w:bidi="ar-SA"/>
        </w:rPr>
      </w:pPr>
      <w:r>
        <w:rPr>
          <w:rFonts w:hint="eastAsia" w:ascii="仿宋_GB2312" w:hAnsi="Times New Roman" w:eastAsia="仿宋_GB2312" w:cs="Times New Roman"/>
          <w:color w:val="000000"/>
          <w:kern w:val="2"/>
          <w:sz w:val="32"/>
          <w:szCs w:val="32"/>
          <w:shd w:val="clear" w:color="auto" w:fill="FFFFFF"/>
          <w:lang w:val="zh-CN" w:eastAsia="zh-CN" w:bidi="ar-SA"/>
        </w:rPr>
        <w:t>长期以来，我单位坚持做到在执行预算时，牢牢把握政府预算这一源头管控环节，坚持按照州财政批复的部门预算执行，并严格按照细化的年初预算数执行预算，同时明确了开支标准、完善相关制度。坚持做到了先有预算后有支出，未列入预算的经费一律不得支出。同时，我单位一如继往地加强财经方面的法制教育，严格执行中央八项规定，严肃财经纪律，单位设立了规范健全的机关财务管理制度等内控制度，会计核算和账务管理严格按照相关规定执行。所有财务往来均严格按照 “收支两条线”的财经纪律有关规定执行。从严控制行政经费和“三公”经费，不断完善公务出差、公务接待、公务用车等方面的规章制度，明确了开支标准、不符合财政财务制度规定的支出，一律不予报销。</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rPr>
      </w:pPr>
      <w:r>
        <w:rPr>
          <w:rFonts w:hint="eastAsia" w:ascii="楷体_GB2312" w:hAnsi="宋体" w:eastAsia="楷体_GB2312" w:cs="宋体"/>
          <w:color w:val="000000"/>
          <w:kern w:val="0"/>
          <w:sz w:val="32"/>
          <w:szCs w:val="32"/>
          <w:shd w:val="clear" w:color="auto" w:fill="FFFFFF"/>
          <w:lang w:val="zh-CN"/>
        </w:rPr>
        <w:t>（二）结果应用情况。</w:t>
      </w:r>
    </w:p>
    <w:p>
      <w:pPr>
        <w:pStyle w:val="1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000000"/>
          <w:kern w:val="2"/>
          <w:sz w:val="32"/>
          <w:szCs w:val="32"/>
          <w:shd w:val="clear" w:color="auto" w:fill="FFFFFF"/>
          <w:lang w:val="zh-CN" w:eastAsia="zh-CN" w:bidi="ar-SA"/>
        </w:rPr>
      </w:pPr>
      <w:r>
        <w:rPr>
          <w:rFonts w:hint="eastAsia" w:ascii="仿宋_GB2312" w:hAnsi="Times New Roman" w:eastAsia="仿宋_GB2312" w:cs="Times New Roman"/>
          <w:color w:val="000000"/>
          <w:kern w:val="2"/>
          <w:sz w:val="32"/>
          <w:szCs w:val="32"/>
          <w:shd w:val="clear" w:color="auto" w:fill="FFFFFF"/>
          <w:lang w:val="zh-CN" w:eastAsia="zh-CN" w:bidi="ar-SA"/>
        </w:rPr>
        <w:t>按照预算绩效管理要求，本部门对202</w:t>
      </w:r>
      <w:r>
        <w:rPr>
          <w:rFonts w:hint="eastAsia" w:ascii="仿宋_GB2312" w:hAnsi="Times New Roman" w:eastAsia="仿宋_GB2312" w:cs="Times New Roman"/>
          <w:color w:val="000000"/>
          <w:kern w:val="2"/>
          <w:sz w:val="32"/>
          <w:szCs w:val="32"/>
          <w:shd w:val="clear" w:color="auto" w:fill="FFFFFF"/>
          <w:lang w:val="en-US" w:eastAsia="zh-CN" w:bidi="ar-SA"/>
        </w:rPr>
        <w:t>1</w:t>
      </w:r>
      <w:r>
        <w:rPr>
          <w:rFonts w:hint="eastAsia" w:ascii="仿宋_GB2312" w:hAnsi="Times New Roman" w:eastAsia="仿宋_GB2312" w:cs="Times New Roman"/>
          <w:color w:val="000000"/>
          <w:kern w:val="2"/>
          <w:sz w:val="32"/>
          <w:szCs w:val="32"/>
          <w:shd w:val="clear" w:color="auto" w:fill="FFFFFF"/>
          <w:lang w:val="zh-CN" w:eastAsia="zh-CN" w:bidi="ar-SA"/>
        </w:rPr>
        <w:t>年一般公共预算项目支出开展了绩效目标管理，共编制绩效目标</w:t>
      </w:r>
      <w:r>
        <w:rPr>
          <w:rFonts w:hint="eastAsia" w:ascii="仿宋_GB2312" w:hAnsi="Times New Roman" w:eastAsia="仿宋_GB2312" w:cs="Times New Roman"/>
          <w:color w:val="000000"/>
          <w:kern w:val="2"/>
          <w:sz w:val="32"/>
          <w:szCs w:val="32"/>
          <w:shd w:val="clear" w:color="auto" w:fill="FFFFFF"/>
          <w:lang w:val="en-US" w:eastAsia="zh-CN" w:bidi="ar-SA"/>
        </w:rPr>
        <w:t>8</w:t>
      </w:r>
      <w:r>
        <w:rPr>
          <w:rFonts w:hint="eastAsia" w:ascii="仿宋_GB2312" w:hAnsi="Times New Roman" w:eastAsia="仿宋_GB2312" w:cs="Times New Roman"/>
          <w:color w:val="000000"/>
          <w:kern w:val="2"/>
          <w:sz w:val="32"/>
          <w:szCs w:val="32"/>
          <w:shd w:val="clear" w:color="auto" w:fill="FFFFFF"/>
          <w:lang w:val="zh-CN" w:eastAsia="zh-CN" w:bidi="ar-SA"/>
        </w:rPr>
        <w:t>个，涉及财政资金</w:t>
      </w:r>
      <w:r>
        <w:rPr>
          <w:rFonts w:hint="eastAsia" w:ascii="仿宋_GB2312" w:hAnsi="Times New Roman" w:eastAsia="仿宋_GB2312" w:cs="Times New Roman"/>
          <w:color w:val="000000"/>
          <w:kern w:val="2"/>
          <w:sz w:val="32"/>
          <w:szCs w:val="32"/>
          <w:shd w:val="clear" w:color="auto" w:fill="FFFFFF"/>
          <w:lang w:val="en-US" w:eastAsia="zh-CN" w:bidi="ar-SA"/>
        </w:rPr>
        <w:t>163.1193</w:t>
      </w:r>
      <w:r>
        <w:rPr>
          <w:rFonts w:hint="eastAsia" w:ascii="仿宋_GB2312" w:hAnsi="Times New Roman" w:eastAsia="仿宋_GB2312" w:cs="Times New Roman"/>
          <w:color w:val="000000"/>
          <w:kern w:val="2"/>
          <w:sz w:val="32"/>
          <w:szCs w:val="32"/>
          <w:shd w:val="clear" w:color="auto" w:fill="FFFFFF"/>
          <w:lang w:val="zh-CN" w:eastAsia="zh-CN" w:bidi="ar-SA"/>
        </w:rPr>
        <w:t>万元，覆盖率达到100%。其中</w:t>
      </w:r>
      <w:r>
        <w:rPr>
          <w:rFonts w:hint="eastAsia" w:ascii="仿宋_GB2312" w:hAnsi="Times New Roman" w:eastAsia="仿宋_GB2312" w:cs="Times New Roman"/>
          <w:color w:val="000000"/>
          <w:kern w:val="2"/>
          <w:sz w:val="32"/>
          <w:szCs w:val="32"/>
          <w:shd w:val="clear" w:color="auto" w:fill="FFFFFF"/>
          <w:lang w:val="en-US" w:eastAsia="zh-CN" w:bidi="ar-SA"/>
        </w:rPr>
        <w:t>7</w:t>
      </w:r>
      <w:r>
        <w:rPr>
          <w:rFonts w:hint="eastAsia" w:ascii="仿宋_GB2312" w:hAnsi="Times New Roman" w:eastAsia="仿宋_GB2312" w:cs="Times New Roman"/>
          <w:color w:val="000000"/>
          <w:kern w:val="2"/>
          <w:sz w:val="32"/>
          <w:szCs w:val="32"/>
          <w:shd w:val="clear" w:color="auto" w:fill="FFFFFF"/>
          <w:lang w:val="zh-CN" w:eastAsia="zh-CN" w:bidi="ar-SA"/>
        </w:rPr>
        <w:t>个项目支出率达到100%，余下</w:t>
      </w:r>
      <w:r>
        <w:rPr>
          <w:rFonts w:hint="eastAsia" w:ascii="仿宋_GB2312" w:hAnsi="Times New Roman" w:eastAsia="仿宋_GB2312" w:cs="Times New Roman"/>
          <w:color w:val="000000"/>
          <w:kern w:val="2"/>
          <w:sz w:val="32"/>
          <w:szCs w:val="32"/>
          <w:shd w:val="clear" w:color="auto" w:fill="FFFFFF"/>
          <w:lang w:val="en-US" w:eastAsia="zh-CN" w:bidi="ar-SA"/>
        </w:rPr>
        <w:t>1</w:t>
      </w:r>
      <w:r>
        <w:rPr>
          <w:rFonts w:hint="eastAsia" w:ascii="仿宋_GB2312" w:hAnsi="Times New Roman" w:eastAsia="仿宋_GB2312" w:cs="Times New Roman"/>
          <w:color w:val="000000"/>
          <w:kern w:val="2"/>
          <w:sz w:val="32"/>
          <w:szCs w:val="32"/>
          <w:shd w:val="clear" w:color="auto" w:fill="FFFFFF"/>
          <w:lang w:val="zh-CN" w:eastAsia="zh-CN" w:bidi="ar-SA"/>
        </w:rPr>
        <w:t>个项目是：</w:t>
      </w:r>
      <w:r>
        <w:rPr>
          <w:rFonts w:hint="eastAsia" w:ascii="仿宋_GB2312" w:hAnsi="Times New Roman" w:eastAsia="仿宋_GB2312" w:cs="Times New Roman"/>
          <w:color w:val="000000"/>
          <w:kern w:val="2"/>
          <w:sz w:val="32"/>
          <w:szCs w:val="32"/>
          <w:shd w:val="clear" w:color="auto" w:fill="FFFFFF"/>
          <w:lang w:val="en-US" w:eastAsia="zh-CN" w:bidi="ar-SA"/>
        </w:rPr>
        <w:t>新建档案馆中央预算资金19.56万元</w:t>
      </w:r>
      <w:r>
        <w:rPr>
          <w:rFonts w:hint="eastAsia" w:ascii="仿宋_GB2312" w:hAnsi="Times New Roman" w:eastAsia="仿宋_GB2312" w:cs="Times New Roman"/>
          <w:color w:val="000000"/>
          <w:kern w:val="2"/>
          <w:sz w:val="32"/>
          <w:szCs w:val="32"/>
          <w:shd w:val="clear" w:color="auto" w:fill="FFFFFF"/>
          <w:lang w:val="zh-CN" w:eastAsia="zh-CN" w:bidi="ar-SA"/>
        </w:rPr>
        <w:t>，主要原因是：</w:t>
      </w:r>
      <w:r>
        <w:rPr>
          <w:rFonts w:hint="eastAsia" w:ascii="仿宋_GB2312" w:hAnsi="Times New Roman" w:eastAsia="仿宋_GB2312" w:cs="Times New Roman"/>
          <w:color w:val="000000"/>
          <w:kern w:val="2"/>
          <w:sz w:val="32"/>
          <w:szCs w:val="32"/>
          <w:shd w:val="clear" w:color="auto" w:fill="FFFFFF"/>
          <w:lang w:val="en-US" w:eastAsia="zh-CN" w:bidi="ar-SA"/>
        </w:rPr>
        <w:t>该</w:t>
      </w:r>
      <w:r>
        <w:rPr>
          <w:rFonts w:hint="eastAsia" w:ascii="仿宋_GB2312" w:hAnsi="Times New Roman" w:eastAsia="仿宋_GB2312" w:cs="Times New Roman"/>
          <w:color w:val="000000"/>
          <w:kern w:val="2"/>
          <w:sz w:val="32"/>
          <w:szCs w:val="32"/>
          <w:shd w:val="clear" w:color="auto" w:fill="FFFFFF"/>
          <w:lang w:val="zh-CN" w:eastAsia="zh-CN" w:bidi="ar-SA"/>
        </w:rPr>
        <w:t>项目</w:t>
      </w:r>
      <w:r>
        <w:rPr>
          <w:rFonts w:hint="eastAsia" w:ascii="仿宋_GB2312" w:hAnsi="Times New Roman" w:eastAsia="仿宋_GB2312" w:cs="Times New Roman"/>
          <w:color w:val="000000"/>
          <w:kern w:val="2"/>
          <w:sz w:val="32"/>
          <w:szCs w:val="32"/>
          <w:shd w:val="clear" w:color="auto" w:fill="FFFFFF"/>
          <w:lang w:val="en-US" w:eastAsia="zh-CN" w:bidi="ar-SA"/>
        </w:rPr>
        <w:t>涉诉还未进行竣工结算，因此预算执行率较低</w:t>
      </w:r>
      <w:r>
        <w:rPr>
          <w:rFonts w:hint="eastAsia" w:ascii="仿宋_GB2312" w:hAnsi="Times New Roman" w:eastAsia="仿宋_GB2312" w:cs="Times New Roman"/>
          <w:color w:val="000000"/>
          <w:kern w:val="2"/>
          <w:sz w:val="32"/>
          <w:szCs w:val="32"/>
          <w:shd w:val="clear" w:color="auto" w:fill="FFFFFF"/>
          <w:lang w:val="zh-CN" w:eastAsia="zh-CN" w:bidi="ar-SA"/>
        </w:rPr>
        <w:t>。</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rPr>
      </w:pPr>
      <w:r>
        <w:rPr>
          <w:rFonts w:hint="eastAsia" w:ascii="楷体_GB2312" w:hAnsi="宋体" w:eastAsia="楷体_GB2312" w:cs="宋体"/>
          <w:color w:val="000000"/>
          <w:kern w:val="0"/>
          <w:sz w:val="32"/>
          <w:szCs w:val="32"/>
          <w:shd w:val="clear" w:color="auto" w:fill="FFFFFF"/>
          <w:lang w:val="zh-CN"/>
        </w:rPr>
        <w:t>（</w:t>
      </w:r>
      <w:r>
        <w:rPr>
          <w:rFonts w:hint="eastAsia" w:ascii="楷体_GB2312" w:hAnsi="宋体" w:eastAsia="楷体_GB2312" w:cs="宋体"/>
          <w:color w:val="000000"/>
          <w:kern w:val="0"/>
          <w:sz w:val="32"/>
          <w:szCs w:val="32"/>
          <w:shd w:val="clear" w:color="auto" w:fill="FFFFFF"/>
          <w:lang w:val="en-US" w:eastAsia="zh-CN"/>
        </w:rPr>
        <w:t>三</w:t>
      </w:r>
      <w:r>
        <w:rPr>
          <w:rFonts w:hint="eastAsia" w:ascii="楷体_GB2312" w:hAnsi="宋体" w:eastAsia="楷体_GB2312" w:cs="宋体"/>
          <w:color w:val="000000"/>
          <w:kern w:val="0"/>
          <w:sz w:val="32"/>
          <w:szCs w:val="32"/>
          <w:shd w:val="clear" w:color="auto" w:fill="FFFFFF"/>
          <w:lang w:val="zh-CN"/>
        </w:rPr>
        <w:t>）自评质量。</w:t>
      </w:r>
    </w:p>
    <w:p>
      <w:pPr>
        <w:pStyle w:val="1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eastAsia="仿宋_GB2312" w:cs="宋体"/>
          <w:kern w:val="0"/>
          <w:sz w:val="32"/>
          <w:szCs w:val="32"/>
          <w:shd w:val="clear" w:color="auto" w:fill="FFFFFF"/>
        </w:rPr>
      </w:pPr>
      <w:r>
        <w:rPr>
          <w:rFonts w:hint="eastAsia" w:ascii="仿宋_GB2312" w:hAnsi="Times New Roman" w:eastAsia="仿宋_GB2312" w:cs="Times New Roman"/>
          <w:color w:val="000000"/>
          <w:kern w:val="2"/>
          <w:sz w:val="32"/>
          <w:szCs w:val="32"/>
          <w:shd w:val="clear" w:color="auto" w:fill="FFFFFF"/>
          <w:lang w:val="zh-CN" w:eastAsia="zh-CN" w:bidi="ar-SA"/>
        </w:rPr>
        <w:t>按照预算绩效管理要求，本部门用阿坝州部门支出绩效评价指标体系开展绩效自评得分</w:t>
      </w:r>
      <w:r>
        <w:rPr>
          <w:rFonts w:hint="eastAsia" w:ascii="仿宋_GB2312" w:hAnsi="Times New Roman" w:eastAsia="仿宋_GB2312" w:cs="Times New Roman"/>
          <w:color w:val="000000"/>
          <w:kern w:val="2"/>
          <w:sz w:val="32"/>
          <w:szCs w:val="32"/>
          <w:shd w:val="clear" w:color="auto" w:fill="FFFFFF"/>
          <w:lang w:val="en-US" w:eastAsia="zh-CN" w:bidi="ar-SA"/>
        </w:rPr>
        <w:t>80</w:t>
      </w:r>
      <w:r>
        <w:rPr>
          <w:rFonts w:hint="eastAsia" w:ascii="仿宋_GB2312" w:hAnsi="Times New Roman" w:eastAsia="仿宋_GB2312" w:cs="Times New Roman"/>
          <w:color w:val="000000"/>
          <w:kern w:val="2"/>
          <w:sz w:val="32"/>
          <w:szCs w:val="32"/>
          <w:shd w:val="clear" w:color="auto" w:fill="FFFFFF"/>
          <w:lang w:val="zh-CN" w:eastAsia="zh-CN" w:bidi="ar-SA"/>
        </w:rPr>
        <w:t>分。本部门对5个项目《档案查阅项目》《数字化档案馆项目》《档案征集项目》《重点档案抢救和保护项目》《</w:t>
      </w:r>
      <w:r>
        <w:rPr>
          <w:rFonts w:hint="eastAsia" w:ascii="仿宋_GB2312" w:hAnsi="Times New Roman" w:eastAsia="仿宋_GB2312" w:cs="Times New Roman"/>
          <w:color w:val="000000"/>
          <w:kern w:val="2"/>
          <w:sz w:val="32"/>
          <w:szCs w:val="32"/>
          <w:shd w:val="clear" w:color="auto" w:fill="FFFFFF"/>
          <w:lang w:val="en-US" w:eastAsia="zh-CN" w:bidi="ar-SA"/>
        </w:rPr>
        <w:t>州档案馆“阿坝州庆祝中国共产党成立100周年档案史料展”项目</w:t>
      </w:r>
      <w:r>
        <w:rPr>
          <w:rFonts w:hint="eastAsia" w:ascii="仿宋_GB2312" w:hAnsi="Times New Roman" w:eastAsia="仿宋_GB2312" w:cs="Times New Roman"/>
          <w:color w:val="000000"/>
          <w:kern w:val="2"/>
          <w:sz w:val="32"/>
          <w:szCs w:val="32"/>
          <w:shd w:val="clear" w:color="auto" w:fill="FFFFFF"/>
          <w:lang w:val="zh-CN" w:eastAsia="zh-CN" w:bidi="ar-SA"/>
        </w:rPr>
        <w:t>》开展了绩效评价，自评得分</w:t>
      </w:r>
      <w:r>
        <w:rPr>
          <w:rFonts w:hint="eastAsia" w:ascii="仿宋_GB2312" w:hAnsi="Times New Roman" w:eastAsia="仿宋_GB2312" w:cs="Times New Roman"/>
          <w:color w:val="000000"/>
          <w:kern w:val="2"/>
          <w:sz w:val="32"/>
          <w:szCs w:val="32"/>
          <w:shd w:val="clear" w:color="auto" w:fill="FFFFFF"/>
          <w:lang w:val="en-US" w:eastAsia="zh-CN" w:bidi="ar-SA"/>
        </w:rPr>
        <w:t>分别</w:t>
      </w:r>
      <w:r>
        <w:rPr>
          <w:rFonts w:hint="eastAsia" w:ascii="仿宋_GB2312" w:hAnsi="Times New Roman" w:eastAsia="仿宋_GB2312" w:cs="Times New Roman"/>
          <w:color w:val="000000"/>
          <w:kern w:val="2"/>
          <w:sz w:val="32"/>
          <w:szCs w:val="32"/>
          <w:shd w:val="clear" w:color="auto" w:fill="FFFFFF"/>
          <w:lang w:val="zh-CN" w:eastAsia="zh-CN" w:bidi="ar-SA"/>
        </w:rPr>
        <w:t>为</w:t>
      </w:r>
      <w:r>
        <w:rPr>
          <w:rFonts w:hint="eastAsia" w:ascii="仿宋_GB2312" w:hAnsi="Times New Roman" w:eastAsia="仿宋_GB2312" w:cs="Times New Roman"/>
          <w:color w:val="000000"/>
          <w:kern w:val="2"/>
          <w:sz w:val="32"/>
          <w:szCs w:val="32"/>
          <w:shd w:val="clear" w:color="auto" w:fill="FFFFFF"/>
          <w:lang w:val="en-US" w:eastAsia="zh-CN" w:bidi="ar-SA"/>
        </w:rPr>
        <w:t>88</w:t>
      </w:r>
      <w:r>
        <w:rPr>
          <w:rFonts w:hint="eastAsia" w:ascii="仿宋_GB2312" w:hAnsi="Times New Roman" w:eastAsia="仿宋_GB2312" w:cs="Times New Roman"/>
          <w:color w:val="000000"/>
          <w:kern w:val="2"/>
          <w:sz w:val="32"/>
          <w:szCs w:val="32"/>
          <w:shd w:val="clear" w:color="auto" w:fill="FFFFFF"/>
          <w:lang w:val="zh-CN" w:eastAsia="zh-CN" w:bidi="ar-SA"/>
        </w:rPr>
        <w:t>分、</w:t>
      </w:r>
      <w:r>
        <w:rPr>
          <w:rFonts w:hint="eastAsia" w:ascii="仿宋_GB2312" w:hAnsi="Times New Roman" w:eastAsia="仿宋_GB2312" w:cs="Times New Roman"/>
          <w:color w:val="000000"/>
          <w:kern w:val="2"/>
          <w:sz w:val="32"/>
          <w:szCs w:val="32"/>
          <w:shd w:val="clear" w:color="auto" w:fill="FFFFFF"/>
          <w:lang w:val="en-US" w:eastAsia="zh-CN" w:bidi="ar-SA"/>
        </w:rPr>
        <w:t>90 分、95分、93分、95分</w:t>
      </w:r>
      <w:r>
        <w:rPr>
          <w:rFonts w:hint="eastAsia" w:ascii="仿宋_GB2312" w:hAnsi="Times New Roman" w:eastAsia="仿宋_GB2312" w:cs="Times New Roman"/>
          <w:color w:val="000000"/>
          <w:kern w:val="2"/>
          <w:sz w:val="32"/>
          <w:szCs w:val="32"/>
          <w:shd w:val="clear" w:color="auto" w:fill="FFFFFF"/>
          <w:lang w:val="zh-CN" w:eastAsia="zh-CN" w:bidi="ar-SA"/>
        </w:rPr>
        <w:t>。</w:t>
      </w:r>
    </w:p>
    <w:p>
      <w:pPr>
        <w:widowControl/>
        <w:adjustRightInd w:val="0"/>
        <w:snapToGrid w:val="0"/>
        <w:spacing w:line="576" w:lineRule="exact"/>
        <w:ind w:firstLine="640" w:firstLineChars="200"/>
        <w:contextualSpacing/>
        <w:jc w:val="left"/>
        <w:rPr>
          <w:rFonts w:ascii="黑体" w:eastAsia="黑体" w:cs="宋体"/>
          <w:kern w:val="0"/>
          <w:sz w:val="32"/>
          <w:szCs w:val="32"/>
          <w:shd w:val="clear" w:color="auto" w:fill="FFFFFF"/>
        </w:rPr>
      </w:pPr>
      <w:r>
        <w:rPr>
          <w:rFonts w:hint="eastAsia" w:ascii="黑体" w:eastAsia="黑体" w:cs="宋体"/>
          <w:kern w:val="0"/>
          <w:sz w:val="32"/>
          <w:szCs w:val="32"/>
          <w:shd w:val="clear" w:color="auto" w:fill="FFFFFF"/>
        </w:rPr>
        <w:t>四、评价结论及建议</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rPr>
      </w:pPr>
      <w:r>
        <w:rPr>
          <w:rFonts w:hint="eastAsia" w:ascii="楷体_GB2312" w:hAnsi="宋体" w:eastAsia="楷体_GB2312" w:cs="宋体"/>
          <w:color w:val="000000"/>
          <w:kern w:val="0"/>
          <w:sz w:val="32"/>
          <w:szCs w:val="32"/>
          <w:shd w:val="clear" w:color="auto" w:fill="FFFFFF"/>
          <w:lang w:val="zh-CN"/>
        </w:rPr>
        <w:t>（一）评价结论。</w:t>
      </w:r>
    </w:p>
    <w:p>
      <w:pPr>
        <w:widowControl/>
        <w:adjustRightInd w:val="0"/>
        <w:snapToGrid w:val="0"/>
        <w:spacing w:line="576"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长期以来，我单位严格按照年初财政批复的预算执行支出，各项预算安排都按年初既定的目标有条不紊地推进，预算执行情况较好。根据预算绩效管理要求，本部门（单位）在年初预算编制阶段，组织对年初预算的所有项目开展了预算事前绩效评估并编制了绩效目标，预算执行过程中，开展绩效监控，年终执行完毕后，对预算项目开展了绩效目标完成情况梳理填报。</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w:t>
      </w:r>
      <w:r>
        <w:rPr>
          <w:rFonts w:hint="eastAsia" w:ascii="楷体_GB2312" w:hAnsi="宋体" w:eastAsia="楷体_GB2312" w:cs="宋体"/>
          <w:color w:val="000000"/>
          <w:kern w:val="0"/>
          <w:sz w:val="32"/>
          <w:szCs w:val="32"/>
          <w:shd w:val="clear" w:color="auto" w:fill="FFFFFF"/>
          <w:lang w:val="en-US" w:eastAsia="zh-CN"/>
        </w:rPr>
        <w:t>二</w:t>
      </w:r>
      <w:r>
        <w:rPr>
          <w:rFonts w:hint="eastAsia" w:ascii="楷体_GB2312" w:hAnsi="宋体" w:eastAsia="楷体_GB2312" w:cs="宋体"/>
          <w:color w:val="000000"/>
          <w:kern w:val="0"/>
          <w:sz w:val="32"/>
          <w:szCs w:val="32"/>
          <w:shd w:val="clear" w:color="auto" w:fill="FFFFFF"/>
          <w:lang w:val="zh-CN" w:eastAsia="zh-CN"/>
        </w:rPr>
        <w:t>）存在问题。</w:t>
      </w:r>
    </w:p>
    <w:p>
      <w:pPr>
        <w:widowControl/>
        <w:adjustRightInd w:val="0"/>
        <w:snapToGrid w:val="0"/>
        <w:spacing w:line="576"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en-US" w:eastAsia="zh-CN"/>
        </w:rPr>
        <w:t>一</w:t>
      </w:r>
      <w:r>
        <w:rPr>
          <w:rFonts w:hint="eastAsia" w:ascii="仿宋_GB2312" w:eastAsia="仿宋_GB2312" w:cs="宋体"/>
          <w:kern w:val="0"/>
          <w:sz w:val="32"/>
          <w:szCs w:val="32"/>
          <w:shd w:val="clear" w:color="auto" w:fill="FFFFFF"/>
          <w:lang w:val="zh-CN"/>
        </w:rPr>
        <w:t>是</w:t>
      </w:r>
      <w:r>
        <w:rPr>
          <w:rFonts w:hint="eastAsia" w:ascii="仿宋_GB2312" w:eastAsia="仿宋_GB2312" w:cs="宋体"/>
          <w:kern w:val="0"/>
          <w:sz w:val="32"/>
          <w:szCs w:val="32"/>
          <w:shd w:val="clear" w:color="auto" w:fill="FFFFFF"/>
          <w:lang w:val="en-US" w:eastAsia="zh-CN"/>
        </w:rPr>
        <w:t>预算执行度的推进</w:t>
      </w:r>
      <w:r>
        <w:rPr>
          <w:rFonts w:hint="eastAsia" w:ascii="仿宋_GB2312" w:eastAsia="仿宋_GB2312" w:cs="宋体"/>
          <w:kern w:val="0"/>
          <w:sz w:val="32"/>
          <w:szCs w:val="32"/>
          <w:shd w:val="clear" w:color="auto" w:fill="FFFFFF"/>
          <w:lang w:val="zh-CN"/>
        </w:rPr>
        <w:t>需进一步提高；</w:t>
      </w:r>
    </w:p>
    <w:p>
      <w:pPr>
        <w:widowControl/>
        <w:adjustRightInd w:val="0"/>
        <w:snapToGrid w:val="0"/>
        <w:spacing w:line="576"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en-US" w:eastAsia="zh-CN"/>
        </w:rPr>
        <w:t>二</w:t>
      </w:r>
      <w:r>
        <w:rPr>
          <w:rFonts w:hint="eastAsia" w:ascii="仿宋_GB2312" w:eastAsia="仿宋_GB2312" w:cs="宋体"/>
          <w:kern w:val="0"/>
          <w:sz w:val="32"/>
          <w:szCs w:val="32"/>
          <w:shd w:val="clear" w:color="auto" w:fill="FFFFFF"/>
          <w:lang w:val="zh-CN"/>
        </w:rPr>
        <w:t>是绩效目标设定有待更科学更合理，制度有待进一步完善，工作机制、工作手段有待进一步加强。</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w:t>
      </w:r>
      <w:r>
        <w:rPr>
          <w:rFonts w:hint="eastAsia" w:ascii="楷体_GB2312" w:hAnsi="宋体" w:eastAsia="楷体_GB2312" w:cs="宋体"/>
          <w:color w:val="000000"/>
          <w:kern w:val="0"/>
          <w:sz w:val="32"/>
          <w:szCs w:val="32"/>
          <w:shd w:val="clear" w:color="auto" w:fill="FFFFFF"/>
          <w:lang w:val="en-US" w:eastAsia="zh-CN"/>
        </w:rPr>
        <w:t>三</w:t>
      </w:r>
      <w:r>
        <w:rPr>
          <w:rFonts w:hint="eastAsia" w:ascii="楷体_GB2312" w:hAnsi="宋体" w:eastAsia="楷体_GB2312" w:cs="宋体"/>
          <w:color w:val="000000"/>
          <w:kern w:val="0"/>
          <w:sz w:val="32"/>
          <w:szCs w:val="32"/>
          <w:shd w:val="clear" w:color="auto" w:fill="FFFFFF"/>
          <w:lang w:val="zh-CN" w:eastAsia="zh-CN"/>
        </w:rPr>
        <w:t>）改进建议。</w:t>
      </w:r>
    </w:p>
    <w:p>
      <w:pPr>
        <w:widowControl/>
        <w:adjustRightInd w:val="0"/>
        <w:snapToGrid w:val="0"/>
        <w:spacing w:line="576"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en-US" w:eastAsia="zh-CN"/>
        </w:rPr>
        <w:t>一</w:t>
      </w:r>
      <w:r>
        <w:rPr>
          <w:rFonts w:hint="eastAsia" w:ascii="仿宋_GB2312" w:eastAsia="仿宋_GB2312" w:cs="宋体"/>
          <w:kern w:val="0"/>
          <w:sz w:val="32"/>
          <w:szCs w:val="32"/>
          <w:shd w:val="clear" w:color="auto" w:fill="FFFFFF"/>
          <w:lang w:val="zh-CN"/>
        </w:rPr>
        <w:t>是进一步健全和完善财务管理制度及内部控制制度，规范和约束机关</w:t>
      </w:r>
      <w:r>
        <w:rPr>
          <w:rFonts w:hint="eastAsia" w:ascii="仿宋_GB2312" w:eastAsia="仿宋_GB2312" w:cs="宋体"/>
          <w:kern w:val="0"/>
          <w:sz w:val="32"/>
          <w:szCs w:val="32"/>
          <w:shd w:val="clear" w:color="auto" w:fill="FFFFFF"/>
          <w:lang w:val="en-US" w:eastAsia="zh-CN"/>
        </w:rPr>
        <w:t>部门预算支付</w:t>
      </w:r>
      <w:r>
        <w:rPr>
          <w:rFonts w:hint="eastAsia" w:ascii="仿宋_GB2312" w:eastAsia="仿宋_GB2312" w:cs="宋体"/>
          <w:kern w:val="0"/>
          <w:sz w:val="32"/>
          <w:szCs w:val="32"/>
          <w:shd w:val="clear" w:color="auto" w:fill="FFFFFF"/>
          <w:lang w:val="zh-CN"/>
        </w:rPr>
        <w:t>行为和程序，积极探索在新形势下部门预算、国库集中支付等财政支出改革的特点，不断更新管理思路，在规范财务收支和控制经费增长上，创新管理手段，用新思路、新方法，改进完善财务管理方法。</w:t>
      </w:r>
    </w:p>
    <w:p>
      <w:pPr>
        <w:widowControl/>
        <w:adjustRightInd w:val="0"/>
        <w:snapToGrid w:val="0"/>
        <w:spacing w:line="576" w:lineRule="exact"/>
        <w:ind w:firstLine="640" w:firstLineChars="200"/>
        <w:contextualSpacing/>
        <w:jc w:val="left"/>
        <w:rPr>
          <w:rFonts w:hint="eastAsia"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en-US" w:eastAsia="zh-CN"/>
        </w:rPr>
        <w:t>二</w:t>
      </w:r>
      <w:r>
        <w:rPr>
          <w:rFonts w:hint="eastAsia" w:ascii="仿宋_GB2312" w:eastAsia="仿宋_GB2312" w:cs="宋体"/>
          <w:kern w:val="0"/>
          <w:sz w:val="32"/>
          <w:szCs w:val="32"/>
          <w:shd w:val="clear" w:color="auto" w:fill="FFFFFF"/>
          <w:lang w:val="zh-CN"/>
        </w:rPr>
        <w:t>是按照财政支出绩效管理的要求，建立科学的财政资金效益考评制度体系，牢固树立成本意识，不断提高财政资金使用管理的水平和效率。确保项目顺利实施，提高财政资金的使用效益。</w:t>
      </w:r>
    </w:p>
    <w:p>
      <w:pPr>
        <w:pStyle w:val="14"/>
        <w:rPr>
          <w:lang w:val="zh-CN"/>
        </w:rPr>
      </w:pPr>
    </w:p>
    <w:p>
      <w:pPr>
        <w:pStyle w:val="7"/>
        <w:spacing w:before="93"/>
        <w:rPr>
          <w:rFonts w:cs="宋体"/>
          <w:sz w:val="32"/>
          <w:szCs w:val="32"/>
          <w:shd w:val="clear" w:color="auto" w:fill="FFFFFF"/>
          <w:lang w:val="zh-CN"/>
        </w:rPr>
      </w:pPr>
    </w:p>
    <w:p>
      <w:pPr>
        <w:pStyle w:val="7"/>
        <w:spacing w:before="93"/>
        <w:rPr>
          <w:rFonts w:cs="宋体"/>
          <w:sz w:val="32"/>
          <w:szCs w:val="32"/>
          <w:shd w:val="clear" w:color="auto" w:fill="FFFFFF"/>
          <w:lang w:val="zh-CN"/>
        </w:rPr>
      </w:pPr>
    </w:p>
    <w:p>
      <w:pPr>
        <w:pStyle w:val="2"/>
        <w:numPr>
          <w:ilvl w:val="4"/>
          <w:numId w:val="0"/>
        </w:numPr>
        <w:rPr>
          <w:rFonts w:hint="eastAsia" w:ascii="方正小标宋简体" w:hAnsi="方正小标宋简体" w:eastAsia="方正小标宋简体" w:cs="方正小标宋简体"/>
          <w:b w:val="0"/>
          <w:color w:val="auto"/>
          <w:kern w:val="2"/>
          <w:sz w:val="40"/>
          <w:szCs w:val="40"/>
          <w:lang w:val="zh-CN" w:eastAsia="zh-CN" w:bidi="ar-SA"/>
        </w:rPr>
      </w:pPr>
    </w:p>
    <w:p>
      <w:pPr>
        <w:pStyle w:val="3"/>
        <w:rPr>
          <w:rFonts w:hint="eastAsia"/>
          <w:lang w:val="zh-CN" w:eastAsia="zh-CN"/>
        </w:rPr>
      </w:pPr>
    </w:p>
    <w:p>
      <w:pPr>
        <w:pStyle w:val="3"/>
        <w:rPr>
          <w:rFonts w:hint="eastAsia"/>
          <w:lang w:val="zh-CN" w:eastAsia="zh-CN"/>
        </w:rPr>
      </w:pPr>
    </w:p>
    <w:p>
      <w:pPr>
        <w:pStyle w:val="17"/>
        <w:keepNext w:val="0"/>
        <w:keepLines w:val="0"/>
        <w:pageBreakBefore w:val="0"/>
        <w:widowControl w:val="0"/>
        <w:kinsoku/>
        <w:wordWrap/>
        <w:overflowPunct/>
        <w:topLinePunct w:val="0"/>
        <w:autoSpaceDE/>
        <w:autoSpaceDN/>
        <w:bidi w:val="0"/>
        <w:spacing w:line="480" w:lineRule="exact"/>
        <w:jc w:val="both"/>
        <w:textAlignment w:val="auto"/>
        <w:rPr>
          <w:rFonts w:hint="eastAsia" w:ascii="仿宋_GB2312" w:hAnsi="Times New Roman" w:eastAsia="仿宋_GB2312" w:cs="宋体"/>
          <w:color w:val="auto"/>
          <w:kern w:val="0"/>
          <w:sz w:val="32"/>
          <w:szCs w:val="32"/>
          <w:shd w:val="clear" w:color="auto" w:fill="FFFFFF"/>
          <w:lang w:val="en-US" w:eastAsia="zh-CN" w:bidi="ar-SA"/>
        </w:rPr>
      </w:pPr>
      <w:r>
        <w:rPr>
          <w:rFonts w:hint="eastAsia" w:ascii="仿宋_GB2312" w:hAnsi="Times New Roman" w:eastAsia="仿宋_GB2312" w:cs="宋体"/>
          <w:color w:val="auto"/>
          <w:kern w:val="0"/>
          <w:sz w:val="32"/>
          <w:szCs w:val="32"/>
          <w:shd w:val="clear" w:color="auto" w:fill="FFFFFF"/>
          <w:lang w:val="en-US" w:eastAsia="zh-CN" w:bidi="ar-SA"/>
        </w:rPr>
        <w:t>附件</w:t>
      </w:r>
    </w:p>
    <w:p>
      <w:pPr>
        <w:pStyle w:val="17"/>
        <w:keepNext w:val="0"/>
        <w:keepLines w:val="0"/>
        <w:pageBreakBefore w:val="0"/>
        <w:widowControl w:val="0"/>
        <w:kinsoku/>
        <w:wordWrap/>
        <w:overflowPunct/>
        <w:topLinePunct w:val="0"/>
        <w:autoSpaceDE/>
        <w:autoSpaceDN/>
        <w:bidi w:val="0"/>
        <w:spacing w:line="480" w:lineRule="exact"/>
        <w:ind w:firstLine="883"/>
        <w:jc w:val="center"/>
        <w:textAlignment w:val="auto"/>
        <w:rPr>
          <w:rFonts w:hint="eastAsia" w:ascii="方正小标宋简体" w:hAnsi="Times New Roman" w:eastAsia="方正小标宋简体" w:cs="Times New Roman"/>
          <w:color w:val="auto"/>
          <w:kern w:val="0"/>
          <w:sz w:val="40"/>
          <w:szCs w:val="44"/>
          <w:lang w:val="en-US" w:eastAsia="zh-CN" w:bidi="ar-SA"/>
        </w:rPr>
      </w:pPr>
      <w:r>
        <w:rPr>
          <w:rFonts w:hint="eastAsia" w:ascii="方正小标宋简体" w:hAnsi="Times New Roman" w:eastAsia="方正小标宋简体" w:cs="Times New Roman"/>
          <w:color w:val="auto"/>
          <w:kern w:val="0"/>
          <w:sz w:val="40"/>
          <w:szCs w:val="44"/>
          <w:lang w:val="en-US" w:eastAsia="zh-CN" w:bidi="ar-SA"/>
        </w:rPr>
        <w:t>重点档案抢救和保护</w:t>
      </w:r>
    </w:p>
    <w:p>
      <w:pPr>
        <w:pStyle w:val="17"/>
        <w:keepNext w:val="0"/>
        <w:keepLines w:val="0"/>
        <w:pageBreakBefore w:val="0"/>
        <w:widowControl w:val="0"/>
        <w:kinsoku/>
        <w:wordWrap/>
        <w:overflowPunct/>
        <w:topLinePunct w:val="0"/>
        <w:autoSpaceDE/>
        <w:autoSpaceDN/>
        <w:bidi w:val="0"/>
        <w:spacing w:line="480" w:lineRule="exact"/>
        <w:ind w:firstLine="883"/>
        <w:jc w:val="center"/>
        <w:textAlignment w:val="auto"/>
        <w:rPr>
          <w:rFonts w:hint="eastAsia" w:ascii="方正小标宋简体" w:hAnsi="Times New Roman" w:eastAsia="方正小标宋简体" w:cs="Times New Roman"/>
          <w:color w:val="auto"/>
          <w:kern w:val="0"/>
          <w:sz w:val="40"/>
          <w:szCs w:val="44"/>
          <w:lang w:val="en-US" w:eastAsia="zh-CN" w:bidi="ar-SA"/>
        </w:rPr>
      </w:pPr>
      <w:r>
        <w:rPr>
          <w:rFonts w:hint="eastAsia" w:ascii="方正小标宋简体" w:hAnsi="Times New Roman" w:eastAsia="方正小标宋简体" w:cs="Times New Roman"/>
          <w:color w:val="auto"/>
          <w:kern w:val="0"/>
          <w:sz w:val="40"/>
          <w:szCs w:val="44"/>
          <w:lang w:val="en-US" w:eastAsia="zh-CN" w:bidi="ar-SA"/>
        </w:rPr>
        <w:t>项目支出绩效自评报告</w:t>
      </w:r>
    </w:p>
    <w:p>
      <w:pPr>
        <w:adjustRightInd w:val="0"/>
        <w:snapToGrid w:val="0"/>
        <w:spacing w:line="600" w:lineRule="exact"/>
        <w:ind w:firstLine="720"/>
        <w:rPr>
          <w:rFonts w:hint="eastAsia" w:ascii="楷体_GB2312" w:eastAsia="楷体_GB2312"/>
          <w:b/>
          <w:bCs w:val="0"/>
          <w:sz w:val="32"/>
          <w:szCs w:val="32"/>
          <w:lang w:val="zh-CN"/>
        </w:rPr>
      </w:pPr>
      <w:r>
        <w:rPr>
          <w:rFonts w:hint="eastAsia" w:ascii="楷体_GB2312" w:eastAsia="楷体_GB2312"/>
          <w:b/>
          <w:bCs w:val="0"/>
          <w:sz w:val="32"/>
          <w:szCs w:val="32"/>
          <w:lang w:val="en-US" w:eastAsia="zh-CN"/>
        </w:rPr>
        <w:t>一、</w:t>
      </w:r>
      <w:r>
        <w:rPr>
          <w:rFonts w:hint="eastAsia" w:ascii="楷体_GB2312" w:eastAsia="楷体_GB2312"/>
          <w:b/>
          <w:bCs w:val="0"/>
          <w:sz w:val="32"/>
          <w:szCs w:val="32"/>
          <w:lang w:val="zh-CN"/>
        </w:rPr>
        <w:t>项目概况</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（一）项目基本情况</w:t>
      </w:r>
    </w:p>
    <w:p>
      <w:pPr>
        <w:widowControl/>
        <w:numPr>
          <w:ilvl w:val="0"/>
          <w:numId w:val="0"/>
        </w:numPr>
        <w:adjustRightInd w:val="0"/>
        <w:snapToGrid w:val="0"/>
        <w:spacing w:line="576" w:lineRule="exact"/>
        <w:ind w:firstLine="642" w:firstLineChars="200"/>
        <w:contextualSpacing/>
        <w:jc w:val="left"/>
        <w:rPr>
          <w:rFonts w:hint="eastAsia" w:ascii="仿宋_GB2312" w:eastAsia="仿宋_GB2312" w:cs="宋体"/>
          <w:b/>
          <w:bCs/>
          <w:kern w:val="0"/>
          <w:sz w:val="32"/>
          <w:szCs w:val="32"/>
          <w:shd w:val="clear" w:color="auto" w:fill="FFFFFF"/>
          <w:lang w:val="zh-CN" w:eastAsia="zh-CN"/>
        </w:rPr>
      </w:pPr>
      <w:r>
        <w:rPr>
          <w:rFonts w:hint="eastAsia" w:ascii="仿宋_GB2312" w:eastAsia="仿宋_GB2312" w:cs="宋体"/>
          <w:b/>
          <w:bCs/>
          <w:kern w:val="0"/>
          <w:sz w:val="32"/>
          <w:szCs w:val="32"/>
          <w:shd w:val="clear" w:color="auto" w:fill="FFFFFF"/>
          <w:lang w:val="zh-CN" w:eastAsia="zh-CN"/>
        </w:rPr>
        <w:t>1.职能职责。</w:t>
      </w:r>
    </w:p>
    <w:p>
      <w:pPr>
        <w:widowControl/>
        <w:numPr>
          <w:ilvl w:val="0"/>
          <w:numId w:val="0"/>
        </w:numPr>
        <w:adjustRightInd w:val="0"/>
        <w:snapToGrid w:val="0"/>
        <w:spacing w:line="576" w:lineRule="exact"/>
        <w:ind w:firstLine="640" w:firstLineChars="200"/>
        <w:contextualSpacing/>
        <w:jc w:val="left"/>
        <w:rPr>
          <w:rFonts w:hint="eastAsia" w:ascii="仿宋_GB2312" w:eastAsia="仿宋_GB2312" w:cs="宋体"/>
          <w:kern w:val="0"/>
          <w:sz w:val="32"/>
          <w:szCs w:val="32"/>
          <w:shd w:val="clear" w:color="auto" w:fill="FFFFFF"/>
          <w:lang w:val="zh-CN" w:eastAsia="zh-CN"/>
        </w:rPr>
      </w:pPr>
      <w:r>
        <w:rPr>
          <w:rFonts w:hint="eastAsia" w:ascii="仿宋_GB2312" w:eastAsia="仿宋_GB2312" w:cs="宋体"/>
          <w:kern w:val="0"/>
          <w:sz w:val="32"/>
          <w:szCs w:val="32"/>
          <w:shd w:val="clear" w:color="auto" w:fill="FFFFFF"/>
          <w:lang w:val="zh-CN" w:eastAsia="zh-CN"/>
        </w:rPr>
        <w:t>阿坝州档案馆馆藏国家重点档案8000余卷，主要包括清代档案、民国档案、照片档案、古籍志书等等。抢救和保护好这部分珍贵档案，对于研究少数民族地区的政治历史、土司土官、文化追溯具有重要的历史意义。</w:t>
      </w:r>
    </w:p>
    <w:p>
      <w:pPr>
        <w:widowControl/>
        <w:numPr>
          <w:ilvl w:val="0"/>
          <w:numId w:val="0"/>
        </w:numPr>
        <w:adjustRightInd w:val="0"/>
        <w:snapToGrid w:val="0"/>
        <w:spacing w:line="576" w:lineRule="exact"/>
        <w:ind w:firstLine="642" w:firstLineChars="200"/>
        <w:contextualSpacing/>
        <w:jc w:val="left"/>
        <w:rPr>
          <w:rFonts w:hint="eastAsia" w:ascii="仿宋_GB2312" w:eastAsia="仿宋_GB2312" w:cs="宋体"/>
          <w:b/>
          <w:bCs/>
          <w:kern w:val="0"/>
          <w:sz w:val="32"/>
          <w:szCs w:val="32"/>
          <w:shd w:val="clear" w:color="auto" w:fill="FFFFFF"/>
          <w:lang w:val="zh-CN" w:eastAsia="zh-CN"/>
        </w:rPr>
      </w:pPr>
      <w:r>
        <w:rPr>
          <w:rFonts w:hint="eastAsia" w:ascii="仿宋_GB2312" w:eastAsia="仿宋_GB2312" w:cs="宋体"/>
          <w:b/>
          <w:bCs/>
          <w:kern w:val="0"/>
          <w:sz w:val="32"/>
          <w:szCs w:val="32"/>
          <w:shd w:val="clear" w:color="auto" w:fill="FFFFFF"/>
          <w:lang w:val="zh-CN" w:eastAsia="zh-CN"/>
        </w:rPr>
        <w:t>2</w:t>
      </w:r>
      <w:r>
        <w:rPr>
          <w:rFonts w:hint="default" w:ascii="仿宋_GB2312" w:eastAsia="仿宋_GB2312" w:cs="宋体"/>
          <w:b/>
          <w:bCs/>
          <w:kern w:val="0"/>
          <w:sz w:val="32"/>
          <w:szCs w:val="32"/>
          <w:shd w:val="clear" w:color="auto" w:fill="FFFFFF"/>
          <w:lang w:val="en" w:eastAsia="zh-CN"/>
        </w:rPr>
        <w:t>.</w:t>
      </w:r>
      <w:r>
        <w:rPr>
          <w:rFonts w:hint="eastAsia" w:ascii="仿宋_GB2312" w:eastAsia="仿宋_GB2312" w:cs="宋体"/>
          <w:b/>
          <w:bCs/>
          <w:kern w:val="0"/>
          <w:sz w:val="32"/>
          <w:szCs w:val="32"/>
          <w:shd w:val="clear" w:color="auto" w:fill="FFFFFF"/>
          <w:lang w:val="zh-CN" w:eastAsia="zh-CN"/>
        </w:rPr>
        <w:t>立项依据及资金。</w:t>
      </w:r>
    </w:p>
    <w:p>
      <w:pPr>
        <w:widowControl/>
        <w:numPr>
          <w:ilvl w:val="0"/>
          <w:numId w:val="0"/>
        </w:numPr>
        <w:adjustRightInd w:val="0"/>
        <w:snapToGrid w:val="0"/>
        <w:spacing w:line="576" w:lineRule="exact"/>
        <w:ind w:firstLine="640" w:firstLineChars="200"/>
        <w:contextualSpacing/>
        <w:jc w:val="left"/>
        <w:rPr>
          <w:rFonts w:hint="eastAsia" w:ascii="仿宋_GB2312" w:eastAsia="仿宋_GB2312" w:cs="宋体"/>
          <w:kern w:val="0"/>
          <w:sz w:val="32"/>
          <w:szCs w:val="32"/>
          <w:shd w:val="clear" w:color="auto" w:fill="FFFFFF"/>
          <w:lang w:val="zh-CN" w:eastAsia="zh-CN"/>
        </w:rPr>
      </w:pPr>
      <w:r>
        <w:rPr>
          <w:rFonts w:hint="eastAsia" w:ascii="仿宋_GB2312" w:eastAsia="仿宋_GB2312" w:cs="宋体"/>
          <w:kern w:val="0"/>
          <w:sz w:val="32"/>
          <w:szCs w:val="32"/>
          <w:shd w:val="clear" w:color="auto" w:fill="FFFFFF"/>
          <w:lang w:val="zh-CN" w:eastAsia="zh-CN"/>
        </w:rPr>
        <w:t>按照省财政厅、省档案局关于《档案抢救和保护专项资金管理办法》《阿坝州档案馆2021年部门预算编制说明》，财政预算为20万元。</w:t>
      </w:r>
    </w:p>
    <w:p>
      <w:pPr>
        <w:widowControl/>
        <w:numPr>
          <w:ilvl w:val="0"/>
          <w:numId w:val="0"/>
        </w:numPr>
        <w:adjustRightInd w:val="0"/>
        <w:snapToGrid w:val="0"/>
        <w:spacing w:line="576" w:lineRule="exact"/>
        <w:ind w:firstLine="642" w:firstLineChars="200"/>
        <w:contextualSpacing/>
        <w:jc w:val="left"/>
        <w:rPr>
          <w:rFonts w:hint="eastAsia" w:ascii="仿宋_GB2312" w:eastAsia="仿宋_GB2312" w:cs="宋体"/>
          <w:b/>
          <w:bCs/>
          <w:kern w:val="0"/>
          <w:sz w:val="32"/>
          <w:szCs w:val="32"/>
          <w:shd w:val="clear" w:color="auto" w:fill="FFFFFF"/>
          <w:lang w:val="zh-CN" w:eastAsia="zh-CN"/>
        </w:rPr>
      </w:pPr>
      <w:r>
        <w:rPr>
          <w:rFonts w:hint="eastAsia" w:ascii="仿宋_GB2312" w:eastAsia="仿宋_GB2312" w:cs="宋体"/>
          <w:b/>
          <w:bCs/>
          <w:kern w:val="0"/>
          <w:sz w:val="32"/>
          <w:szCs w:val="32"/>
          <w:shd w:val="clear" w:color="auto" w:fill="FFFFFF"/>
          <w:lang w:val="en-US" w:eastAsia="zh-CN"/>
        </w:rPr>
        <w:t>3.</w:t>
      </w:r>
      <w:r>
        <w:rPr>
          <w:rFonts w:hint="eastAsia" w:ascii="仿宋_GB2312" w:eastAsia="仿宋_GB2312" w:cs="宋体"/>
          <w:b/>
          <w:bCs/>
          <w:kern w:val="0"/>
          <w:sz w:val="32"/>
          <w:szCs w:val="32"/>
          <w:shd w:val="clear" w:color="auto" w:fill="FFFFFF"/>
          <w:lang w:val="zh-CN" w:eastAsia="zh-CN"/>
        </w:rPr>
        <w:t>资金管理办法制定情况，资金支持具体项目的条件、范围与支持方式概况。</w:t>
      </w:r>
    </w:p>
    <w:p>
      <w:pPr>
        <w:widowControl/>
        <w:numPr>
          <w:ilvl w:val="0"/>
          <w:numId w:val="0"/>
        </w:numPr>
        <w:adjustRightInd w:val="0"/>
        <w:snapToGrid w:val="0"/>
        <w:spacing w:line="576" w:lineRule="exact"/>
        <w:ind w:firstLine="642" w:firstLineChars="200"/>
        <w:contextualSpacing/>
        <w:jc w:val="left"/>
        <w:rPr>
          <w:rFonts w:hint="eastAsia" w:ascii="仿宋_GB2312" w:eastAsia="仿宋_GB2312" w:cs="宋体"/>
          <w:b/>
          <w:bCs/>
          <w:kern w:val="0"/>
          <w:sz w:val="32"/>
          <w:szCs w:val="32"/>
          <w:shd w:val="clear" w:color="auto" w:fill="FFFFFF"/>
          <w:lang w:val="zh-CN" w:eastAsia="zh-CN"/>
        </w:rPr>
      </w:pPr>
      <w:r>
        <w:rPr>
          <w:rFonts w:hint="eastAsia" w:ascii="仿宋_GB2312" w:eastAsia="仿宋_GB2312" w:cs="宋体"/>
          <w:b/>
          <w:bCs/>
          <w:kern w:val="0"/>
          <w:sz w:val="32"/>
          <w:szCs w:val="32"/>
          <w:shd w:val="clear" w:color="auto" w:fill="FFFFFF"/>
          <w:lang w:val="en-US" w:eastAsia="zh-CN"/>
        </w:rPr>
        <w:t>4.</w:t>
      </w:r>
      <w:r>
        <w:rPr>
          <w:rFonts w:hint="eastAsia" w:ascii="仿宋_GB2312" w:eastAsia="仿宋_GB2312" w:cs="宋体"/>
          <w:b/>
          <w:bCs/>
          <w:kern w:val="0"/>
          <w:sz w:val="32"/>
          <w:szCs w:val="32"/>
          <w:shd w:val="clear" w:color="auto" w:fill="FFFFFF"/>
          <w:lang w:val="zh-CN" w:eastAsia="zh-CN"/>
        </w:rPr>
        <w:t>项目资金属于专项资金，实行据效分配。</w:t>
      </w:r>
    </w:p>
    <w:p>
      <w:pPr>
        <w:widowControl/>
        <w:numPr>
          <w:ilvl w:val="0"/>
          <w:numId w:val="0"/>
        </w:numPr>
        <w:adjustRightInd w:val="0"/>
        <w:snapToGrid w:val="0"/>
        <w:spacing w:line="576" w:lineRule="exact"/>
        <w:ind w:firstLine="640" w:firstLineChars="200"/>
        <w:contextualSpacing/>
        <w:jc w:val="left"/>
        <w:rPr>
          <w:rFonts w:hint="eastAsia" w:ascii="仿宋_GB2312" w:eastAsia="仿宋_GB2312" w:cs="宋体"/>
          <w:kern w:val="0"/>
          <w:sz w:val="32"/>
          <w:szCs w:val="32"/>
          <w:shd w:val="clear" w:color="auto" w:fill="FFFFFF"/>
          <w:lang w:val="zh-CN" w:eastAsia="zh-CN"/>
        </w:rPr>
      </w:pPr>
      <w:r>
        <w:rPr>
          <w:rFonts w:hint="eastAsia" w:ascii="仿宋_GB2312" w:eastAsia="仿宋_GB2312" w:cs="宋体"/>
          <w:kern w:val="0"/>
          <w:sz w:val="32"/>
          <w:szCs w:val="32"/>
          <w:shd w:val="clear" w:color="auto" w:fill="FFFFFF"/>
          <w:lang w:val="zh-CN" w:eastAsia="zh-CN"/>
        </w:rPr>
        <w:t>按照“突出重点、注重绩效”的原则，通过分析评价、对比遴选出对档案事业确能起到推动作用和做出实际贡献的项目，并提出项目审核意见和专项资金分配方案。</w:t>
      </w:r>
    </w:p>
    <w:p>
      <w:pPr>
        <w:widowControl/>
        <w:numPr>
          <w:ilvl w:val="0"/>
          <w:numId w:val="0"/>
        </w:numPr>
        <w:adjustRightInd w:val="0"/>
        <w:snapToGrid w:val="0"/>
        <w:spacing w:line="576" w:lineRule="exact"/>
        <w:ind w:firstLine="642" w:firstLineChars="200"/>
        <w:contextualSpacing/>
        <w:jc w:val="left"/>
        <w:rPr>
          <w:rFonts w:hint="eastAsia" w:ascii="仿宋_GB2312" w:eastAsia="仿宋_GB2312" w:cs="宋体"/>
          <w:b/>
          <w:bCs/>
          <w:kern w:val="0"/>
          <w:sz w:val="32"/>
          <w:szCs w:val="32"/>
          <w:shd w:val="clear" w:color="auto" w:fill="FFFFFF"/>
          <w:lang w:val="zh-CN" w:eastAsia="zh-CN"/>
        </w:rPr>
      </w:pPr>
      <w:r>
        <w:rPr>
          <w:rFonts w:hint="eastAsia" w:ascii="仿宋_GB2312" w:eastAsia="仿宋_GB2312" w:cs="宋体"/>
          <w:b/>
          <w:bCs/>
          <w:kern w:val="0"/>
          <w:sz w:val="32"/>
          <w:szCs w:val="32"/>
          <w:shd w:val="clear" w:color="auto" w:fill="FFFFFF"/>
          <w:lang w:val="en-US" w:eastAsia="zh-CN"/>
        </w:rPr>
        <w:t>5.</w:t>
      </w:r>
      <w:r>
        <w:rPr>
          <w:rFonts w:hint="eastAsia" w:ascii="仿宋_GB2312" w:eastAsia="仿宋_GB2312" w:cs="宋体"/>
          <w:b/>
          <w:bCs/>
          <w:kern w:val="0"/>
          <w:sz w:val="32"/>
          <w:szCs w:val="32"/>
          <w:shd w:val="clear" w:color="auto" w:fill="FFFFFF"/>
          <w:lang w:val="zh-CN" w:eastAsia="zh-CN"/>
        </w:rPr>
        <w:t>资金分配的原则及考虑因素。</w:t>
      </w:r>
    </w:p>
    <w:p>
      <w:pPr>
        <w:widowControl/>
        <w:numPr>
          <w:ilvl w:val="0"/>
          <w:numId w:val="0"/>
        </w:numPr>
        <w:adjustRightInd w:val="0"/>
        <w:snapToGrid w:val="0"/>
        <w:spacing w:line="576" w:lineRule="exact"/>
        <w:ind w:firstLine="640" w:firstLineChars="200"/>
        <w:contextualSpacing/>
        <w:jc w:val="left"/>
        <w:rPr>
          <w:rFonts w:hint="eastAsia" w:ascii="仿宋_GB2312" w:eastAsia="仿宋_GB2312" w:cs="宋体"/>
          <w:kern w:val="0"/>
          <w:sz w:val="32"/>
          <w:szCs w:val="32"/>
          <w:shd w:val="clear" w:color="auto" w:fill="FFFFFF"/>
          <w:lang w:val="zh-CN" w:eastAsia="zh-CN"/>
        </w:rPr>
      </w:pPr>
      <w:r>
        <w:rPr>
          <w:rFonts w:hint="eastAsia" w:ascii="仿宋_GB2312" w:eastAsia="仿宋_GB2312" w:cs="宋体"/>
          <w:kern w:val="0"/>
          <w:sz w:val="32"/>
          <w:szCs w:val="32"/>
          <w:shd w:val="clear" w:color="auto" w:fill="FFFFFF"/>
          <w:lang w:val="zh-CN" w:eastAsia="zh-CN"/>
        </w:rPr>
        <w:t>资金分配原则是以分期分批抢救和保护古籍志书为前提。</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（二）项目绩效目标</w:t>
      </w:r>
    </w:p>
    <w:p>
      <w:pPr>
        <w:widowControl/>
        <w:numPr>
          <w:ilvl w:val="0"/>
          <w:numId w:val="0"/>
        </w:numPr>
        <w:adjustRightInd w:val="0"/>
        <w:snapToGrid w:val="0"/>
        <w:spacing w:line="576" w:lineRule="exact"/>
        <w:ind w:firstLine="642" w:firstLineChars="200"/>
        <w:contextualSpacing/>
        <w:jc w:val="left"/>
        <w:rPr>
          <w:rFonts w:hint="eastAsia" w:ascii="仿宋_GB2312" w:eastAsia="仿宋_GB2312" w:cs="宋体"/>
          <w:b/>
          <w:bCs/>
          <w:kern w:val="0"/>
          <w:sz w:val="32"/>
          <w:szCs w:val="32"/>
          <w:shd w:val="clear" w:color="auto" w:fill="FFFFFF"/>
          <w:lang w:val="zh-CN" w:eastAsia="zh-CN"/>
        </w:rPr>
      </w:pPr>
      <w:r>
        <w:rPr>
          <w:rFonts w:hint="eastAsia" w:ascii="仿宋_GB2312" w:eastAsia="仿宋_GB2312" w:cs="宋体"/>
          <w:b/>
          <w:bCs/>
          <w:kern w:val="0"/>
          <w:sz w:val="32"/>
          <w:szCs w:val="32"/>
          <w:shd w:val="clear" w:color="auto" w:fill="FFFFFF"/>
          <w:lang w:val="zh-CN" w:eastAsia="zh-CN"/>
        </w:rPr>
        <w:t>1.项目主要内容。</w:t>
      </w:r>
    </w:p>
    <w:p>
      <w:pPr>
        <w:widowControl/>
        <w:numPr>
          <w:ilvl w:val="0"/>
          <w:numId w:val="0"/>
        </w:numPr>
        <w:adjustRightInd w:val="0"/>
        <w:snapToGrid w:val="0"/>
        <w:spacing w:line="576" w:lineRule="exact"/>
        <w:ind w:firstLine="640" w:firstLineChars="200"/>
        <w:contextualSpacing/>
        <w:jc w:val="left"/>
        <w:rPr>
          <w:rFonts w:hint="eastAsia" w:ascii="仿宋_GB2312" w:eastAsia="仿宋_GB2312" w:cs="宋体"/>
          <w:kern w:val="0"/>
          <w:sz w:val="32"/>
          <w:szCs w:val="32"/>
          <w:shd w:val="clear" w:color="auto" w:fill="FFFFFF"/>
          <w:lang w:val="zh-CN" w:eastAsia="zh-CN"/>
        </w:rPr>
      </w:pPr>
      <w:r>
        <w:rPr>
          <w:rFonts w:hint="eastAsia" w:ascii="仿宋_GB2312" w:eastAsia="仿宋_GB2312" w:cs="宋体"/>
          <w:kern w:val="0"/>
          <w:sz w:val="32"/>
          <w:szCs w:val="32"/>
          <w:shd w:val="clear" w:color="auto" w:fill="FFFFFF"/>
          <w:lang w:val="zh-CN" w:eastAsia="zh-CN"/>
        </w:rPr>
        <w:t>对阿坝州档案馆藏重点档案《同治〈理番厅志〉》进行消毒、除尘、杀菌、清洁、修复、装帧、加固等古籍修复和数字化工作，包含原书衣叶、原护叶、原书芯叶；对阿坝州档案馆藏《同治〈理番厅志〉》开展影印出版，内文采用宣纸印刷，线装，封面题签，带布面函套。</w:t>
      </w:r>
    </w:p>
    <w:p>
      <w:pPr>
        <w:widowControl/>
        <w:numPr>
          <w:ilvl w:val="0"/>
          <w:numId w:val="0"/>
        </w:numPr>
        <w:adjustRightInd w:val="0"/>
        <w:snapToGrid w:val="0"/>
        <w:spacing w:line="576" w:lineRule="exact"/>
        <w:ind w:firstLine="642" w:firstLineChars="200"/>
        <w:contextualSpacing/>
        <w:jc w:val="left"/>
        <w:rPr>
          <w:rFonts w:hint="eastAsia" w:ascii="仿宋_GB2312" w:eastAsia="仿宋_GB2312" w:cs="宋体"/>
          <w:b/>
          <w:bCs/>
          <w:kern w:val="0"/>
          <w:sz w:val="32"/>
          <w:szCs w:val="32"/>
          <w:shd w:val="clear" w:color="auto" w:fill="FFFFFF"/>
          <w:lang w:val="zh-CN" w:eastAsia="zh-CN"/>
        </w:rPr>
      </w:pPr>
      <w:r>
        <w:rPr>
          <w:rFonts w:hint="eastAsia" w:ascii="仿宋_GB2312" w:eastAsia="仿宋_GB2312" w:cs="宋体"/>
          <w:b/>
          <w:bCs/>
          <w:kern w:val="0"/>
          <w:sz w:val="32"/>
          <w:szCs w:val="32"/>
          <w:shd w:val="clear" w:color="auto" w:fill="FFFFFF"/>
          <w:lang w:val="zh-CN" w:eastAsia="zh-CN"/>
        </w:rPr>
        <w:t>2.项目应实现的具体绩效目标。</w:t>
      </w:r>
    </w:p>
    <w:p>
      <w:pPr>
        <w:widowControl/>
        <w:numPr>
          <w:ilvl w:val="0"/>
          <w:numId w:val="0"/>
        </w:numPr>
        <w:adjustRightInd w:val="0"/>
        <w:snapToGrid w:val="0"/>
        <w:spacing w:line="576" w:lineRule="exact"/>
        <w:ind w:firstLine="640" w:firstLineChars="200"/>
        <w:contextualSpacing/>
        <w:jc w:val="left"/>
        <w:rPr>
          <w:rFonts w:hint="eastAsia" w:ascii="仿宋_GB2312" w:eastAsia="仿宋_GB2312" w:cs="宋体"/>
          <w:kern w:val="0"/>
          <w:sz w:val="32"/>
          <w:szCs w:val="32"/>
          <w:shd w:val="clear" w:color="auto" w:fill="FFFFFF"/>
          <w:lang w:val="zh-CN" w:eastAsia="zh-CN"/>
        </w:rPr>
      </w:pPr>
      <w:r>
        <w:rPr>
          <w:rFonts w:hint="eastAsia" w:ascii="仿宋_GB2312" w:eastAsia="仿宋_GB2312" w:cs="宋体"/>
          <w:kern w:val="0"/>
          <w:sz w:val="32"/>
          <w:szCs w:val="32"/>
          <w:shd w:val="clear" w:color="auto" w:fill="FFFFFF"/>
          <w:lang w:val="zh-CN" w:eastAsia="zh-CN"/>
        </w:rPr>
        <w:t>对古籍志书原件进行消毒、除尘、修裱水，对破损部分进行高仿复制，完成500册的翻印出版。</w:t>
      </w:r>
    </w:p>
    <w:p>
      <w:pPr>
        <w:widowControl/>
        <w:numPr>
          <w:ilvl w:val="0"/>
          <w:numId w:val="0"/>
        </w:numPr>
        <w:adjustRightInd w:val="0"/>
        <w:snapToGrid w:val="0"/>
        <w:spacing w:line="576" w:lineRule="exact"/>
        <w:ind w:firstLine="642" w:firstLineChars="200"/>
        <w:contextualSpacing/>
        <w:jc w:val="left"/>
        <w:rPr>
          <w:rFonts w:hint="eastAsia" w:ascii="仿宋_GB2312" w:eastAsia="仿宋_GB2312" w:cs="宋体"/>
          <w:b/>
          <w:bCs/>
          <w:kern w:val="0"/>
          <w:sz w:val="32"/>
          <w:szCs w:val="32"/>
          <w:shd w:val="clear" w:color="auto" w:fill="FFFFFF"/>
          <w:lang w:val="zh-CN" w:eastAsia="zh-CN"/>
        </w:rPr>
      </w:pPr>
      <w:r>
        <w:rPr>
          <w:rFonts w:hint="eastAsia" w:ascii="仿宋_GB2312" w:eastAsia="仿宋_GB2312" w:cs="宋体"/>
          <w:b/>
          <w:bCs/>
          <w:kern w:val="0"/>
          <w:sz w:val="32"/>
          <w:szCs w:val="32"/>
          <w:shd w:val="clear" w:color="auto" w:fill="FFFFFF"/>
          <w:lang w:val="zh-CN" w:eastAsia="zh-CN"/>
        </w:rPr>
        <w:t>3.分析评价申报内容的符合性。</w:t>
      </w:r>
    </w:p>
    <w:p>
      <w:pPr>
        <w:widowControl/>
        <w:numPr>
          <w:ilvl w:val="0"/>
          <w:numId w:val="0"/>
        </w:numPr>
        <w:adjustRightInd w:val="0"/>
        <w:snapToGrid w:val="0"/>
        <w:spacing w:line="576" w:lineRule="exact"/>
        <w:ind w:firstLine="640" w:firstLineChars="200"/>
        <w:contextualSpacing/>
        <w:jc w:val="left"/>
        <w:rPr>
          <w:rFonts w:hint="eastAsia" w:ascii="仿宋_GB2312" w:eastAsia="仿宋_GB2312" w:cs="宋体"/>
          <w:kern w:val="0"/>
          <w:sz w:val="32"/>
          <w:szCs w:val="32"/>
          <w:shd w:val="clear" w:color="auto" w:fill="FFFFFF"/>
          <w:lang w:val="zh-CN" w:eastAsia="zh-CN"/>
        </w:rPr>
      </w:pPr>
      <w:r>
        <w:rPr>
          <w:rFonts w:hint="eastAsia" w:ascii="仿宋_GB2312" w:eastAsia="仿宋_GB2312" w:cs="宋体"/>
          <w:kern w:val="0"/>
          <w:sz w:val="32"/>
          <w:szCs w:val="32"/>
          <w:shd w:val="clear" w:color="auto" w:fill="FFFFFF"/>
          <w:lang w:val="zh-CN" w:eastAsia="zh-CN"/>
        </w:rPr>
        <w:t>申报内容与实际相符，极大程序地抢救和保护了古籍资料。</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（三）项目自评步骤及方法</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eastAsia="仿宋_GB2312" w:cs="宋体"/>
          <w:kern w:val="0"/>
          <w:sz w:val="32"/>
          <w:szCs w:val="32"/>
          <w:shd w:val="clear" w:color="auto" w:fill="FFFFFF"/>
          <w:lang w:val="zh-CN" w:eastAsia="zh-CN"/>
        </w:rPr>
      </w:pPr>
      <w:r>
        <w:rPr>
          <w:rFonts w:hint="eastAsia" w:ascii="仿宋_GB2312" w:eastAsia="仿宋_GB2312" w:cs="宋体"/>
          <w:kern w:val="0"/>
          <w:sz w:val="32"/>
          <w:szCs w:val="32"/>
          <w:shd w:val="clear" w:color="auto" w:fill="FFFFFF"/>
          <w:lang w:val="zh-CN" w:eastAsia="zh-CN"/>
        </w:rPr>
        <w:t>按照科室负责制的要求，由各科室根据项目实施情况拟定专项预算项目支出绩效自评报告，并按照《2022年州级专项预算项目支出绩效评价指标体系》进行自查评分，报送馆务会审查，将审查结果报送州纪委监委派驻州委办公室纪检监察组组备案。</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黑体" w:hAnsi="黑体" w:eastAsia="黑体" w:cs="黑体"/>
          <w:kern w:val="0"/>
          <w:sz w:val="32"/>
          <w:szCs w:val="32"/>
          <w:shd w:val="clear" w:color="auto" w:fill="FFFFFF"/>
          <w:lang w:val="zh-CN" w:eastAsia="zh-CN"/>
        </w:rPr>
      </w:pPr>
      <w:r>
        <w:rPr>
          <w:rFonts w:hint="eastAsia" w:ascii="黑体" w:hAnsi="黑体" w:eastAsia="黑体" w:cs="黑体"/>
          <w:kern w:val="0"/>
          <w:sz w:val="32"/>
          <w:szCs w:val="32"/>
          <w:shd w:val="clear" w:color="auto" w:fill="FFFFFF"/>
          <w:lang w:val="zh-CN" w:eastAsia="zh-CN"/>
        </w:rPr>
        <w:t>二、项目资金申报及使用情况</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（一）项目资金申报及批复情况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eastAsia="仿宋_GB2312" w:cs="宋体"/>
          <w:kern w:val="0"/>
          <w:sz w:val="32"/>
          <w:szCs w:val="32"/>
          <w:shd w:val="clear" w:color="auto" w:fill="FFFFFF"/>
          <w:lang w:val="zh-CN" w:eastAsia="zh-CN"/>
        </w:rPr>
      </w:pPr>
      <w:r>
        <w:rPr>
          <w:rFonts w:hint="eastAsia" w:ascii="仿宋_GB2312" w:eastAsia="仿宋_GB2312" w:cs="宋体"/>
          <w:kern w:val="0"/>
          <w:sz w:val="32"/>
          <w:szCs w:val="32"/>
          <w:shd w:val="clear" w:color="auto" w:fill="FFFFFF"/>
          <w:lang w:val="zh-CN" w:eastAsia="zh-CN"/>
        </w:rPr>
        <w:t>项目资金是根据阿坝州档案馆重点档案抢救和保护项目纳入全州档案事业发展规划，并一直持续性由州财政给予每年20万元的经费投入。</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（二）资金计划、到位及使用情况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eastAsia="仿宋_GB2312" w:cs="宋体"/>
          <w:kern w:val="0"/>
          <w:sz w:val="32"/>
          <w:szCs w:val="32"/>
          <w:shd w:val="clear" w:color="auto" w:fill="FFFFFF"/>
          <w:lang w:val="zh-CN" w:eastAsia="zh-CN"/>
        </w:rPr>
      </w:pPr>
      <w:r>
        <w:rPr>
          <w:rFonts w:hint="eastAsia" w:ascii="仿宋_GB2312" w:eastAsia="仿宋_GB2312" w:cs="宋体"/>
          <w:kern w:val="0"/>
          <w:sz w:val="32"/>
          <w:szCs w:val="32"/>
          <w:shd w:val="clear" w:color="auto" w:fill="FFFFFF"/>
          <w:lang w:val="zh-CN" w:eastAsia="zh-CN"/>
        </w:rPr>
        <w:t>资金计划为20万元，实际到位资金为20万元。主要是对馆藏古籍志书进行抢救和保护，旨在最大限度地延长档案的使用寿命，更好地保护和记载阿坝藏羌民族历史和文化。当年资金使用了18.9万元。</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（三）项目财务管理情况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eastAsia="仿宋_GB2312" w:cs="宋体"/>
          <w:kern w:val="0"/>
          <w:sz w:val="32"/>
          <w:szCs w:val="32"/>
          <w:shd w:val="clear" w:color="auto" w:fill="FFFFFF"/>
          <w:lang w:val="zh-CN" w:eastAsia="zh-CN"/>
        </w:rPr>
      </w:pPr>
      <w:r>
        <w:rPr>
          <w:rFonts w:hint="eastAsia" w:ascii="仿宋_GB2312" w:eastAsia="仿宋_GB2312" w:cs="宋体"/>
          <w:kern w:val="0"/>
          <w:sz w:val="32"/>
          <w:szCs w:val="32"/>
          <w:shd w:val="clear" w:color="auto" w:fill="FFFFFF"/>
          <w:lang w:val="zh-CN" w:eastAsia="zh-CN"/>
        </w:rPr>
        <w:t>我馆制定并完善了财务管理制度并严格执行，账务处理比较及时，会计核算比较规范。</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黑体" w:hAnsi="黑体" w:eastAsia="黑体" w:cs="黑体"/>
          <w:kern w:val="0"/>
          <w:sz w:val="32"/>
          <w:szCs w:val="32"/>
          <w:shd w:val="clear" w:color="auto" w:fill="FFFFFF"/>
          <w:lang w:val="zh-CN" w:eastAsia="zh-CN"/>
        </w:rPr>
      </w:pPr>
      <w:r>
        <w:rPr>
          <w:rFonts w:hint="eastAsia" w:ascii="黑体" w:hAnsi="黑体" w:eastAsia="黑体" w:cs="黑体"/>
          <w:kern w:val="0"/>
          <w:sz w:val="32"/>
          <w:szCs w:val="32"/>
          <w:shd w:val="clear" w:color="auto" w:fill="FFFFFF"/>
          <w:lang w:val="zh-CN" w:eastAsia="zh-CN"/>
        </w:rPr>
        <w:t>三、项目实施及管理情况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eastAsia="仿宋_GB2312" w:cs="宋体"/>
          <w:kern w:val="0"/>
          <w:sz w:val="32"/>
          <w:szCs w:val="32"/>
          <w:shd w:val="clear" w:color="auto" w:fill="FFFFFF"/>
          <w:lang w:val="zh-CN" w:eastAsia="zh-CN"/>
        </w:rPr>
      </w:pPr>
      <w:r>
        <w:rPr>
          <w:rFonts w:hint="eastAsia" w:ascii="仿宋_GB2312" w:eastAsia="仿宋_GB2312" w:cs="宋体"/>
          <w:kern w:val="0"/>
          <w:sz w:val="32"/>
          <w:szCs w:val="32"/>
          <w:shd w:val="clear" w:color="auto" w:fill="FFFFFF"/>
          <w:lang w:val="zh-CN" w:eastAsia="zh-CN"/>
        </w:rPr>
        <w:t>项目由信息技术科负责实施，通过成立项目磋商小组，采用竞争性磋商方式进行内控程序，集体决策，并通过单位相关科室密切配合进行实施和管理。</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（一）项目组织架构及实施流程。</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eastAsia="仿宋_GB2312" w:cs="宋体"/>
          <w:kern w:val="0"/>
          <w:sz w:val="32"/>
          <w:szCs w:val="32"/>
          <w:shd w:val="clear" w:color="auto" w:fill="FFFFFF"/>
          <w:lang w:val="zh-CN" w:eastAsia="zh-CN"/>
        </w:rPr>
      </w:pPr>
      <w:r>
        <w:rPr>
          <w:rFonts w:hint="eastAsia" w:ascii="仿宋_GB2312" w:eastAsia="仿宋_GB2312" w:cs="宋体"/>
          <w:kern w:val="0"/>
          <w:sz w:val="32"/>
          <w:szCs w:val="32"/>
          <w:shd w:val="clear" w:color="auto" w:fill="FFFFFF"/>
          <w:lang w:val="zh-CN" w:eastAsia="zh-CN"/>
        </w:rPr>
        <w:t>项目的组织实施由信息技术科负责，成立了竞争性磋商领导小组，并及时填报“三重一大”备案表，在实施内控程序的各个环节，做好对馆务会的报告和州纪检组的报告，经馆务会和纪检组通过后，在阿坝州档案馆官网上发布公告，通过综合评分的方式来确定供应商。</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b w:val="0"/>
          <w:bCs w:val="0"/>
          <w:sz w:val="32"/>
          <w:szCs w:val="32"/>
        </w:rPr>
      </w:pPr>
      <w:r>
        <w:rPr>
          <w:rFonts w:hint="eastAsia" w:ascii="仿宋_GB2312" w:eastAsia="仿宋_GB2312" w:cs="宋体"/>
          <w:kern w:val="0"/>
          <w:sz w:val="32"/>
          <w:szCs w:val="32"/>
          <w:shd w:val="clear" w:color="auto" w:fill="FFFFFF"/>
          <w:lang w:val="zh-CN" w:eastAsia="zh-CN"/>
        </w:rPr>
        <w:t>2021年9月23日10点，阿坝州档案馆按照《中华人民共和国政府采购法》《阿坝州档案馆2021年部门预算编制说明》有关规定，成立了由馆长王勇为组长，周英、阿桑、桑金措、王晓芳4人作为成员的“阿坝州档案馆重点档案抢救和保护服务采购项目”磋商小组，采购内容为对阿坝州档案馆藏重点档案《同治〈理番厅志〉》进行消毒、除尘、杀菌、清洁、修复、装帧、加固等古籍修复和数字化工作，包含原书衣叶、原护叶、原书芯叶；对阿坝州档案馆藏《同治〈理番厅志〉》开展影印出版，内文采用宣纸印刷，线装，封面题签，带布面函套。预算金额为20万元。磋商小组按照《中华人民共和国政府采购法》《阿坝州财政局关于印发阿坝州级单位政府采购内控管理制度示范文本的通知》（阿州财采〔2021〕46号）文件，对“阿坝州档案馆重点档案抢救和保护服务采购项目”进行竞争性磋商采购。李小康作为本次采购的监督人员对采购过程进行全程监督。此次采购采购共有三家档案服务公司参与投标，分别为四川大学出版社有限责任公司、成都电子科大出版社有限责任公司、成都西南财大出版社有限责任公司，磋商小组对三家公司的资质与投标文件进行了资格性审查和符合性审查，确认三家公司都符合投标要求。随后磋商小组结合项目《竞争性磋商文件》与投标标书</w:t>
      </w:r>
      <w:r>
        <w:rPr>
          <w:rFonts w:hint="eastAsia" w:ascii="仿宋_GB2312" w:hAnsi="仿宋_GB2312" w:eastAsia="仿宋_GB2312" w:cs="仿宋_GB2312"/>
          <w:b w:val="0"/>
          <w:bCs w:val="0"/>
          <w:sz w:val="32"/>
          <w:szCs w:val="32"/>
        </w:rPr>
        <w:t>内容，分别对三家公司的报价、服务方案、综合实力、售后服务、人员配备、设施设备、履约能力、扶持不发达地区和少数民族地区及响应文件的规范性等方面进行了详细的审查评分。通过对5位磋商小组成员的评分进行了汇总，磋商小组一致同意，确定“四川大学出版社有限责任公司”成为该项目的成交供应商。成交金额为18.9万元整</w:t>
      </w:r>
      <w:r>
        <w:rPr>
          <w:rFonts w:hint="eastAsia" w:ascii="仿宋_GB2312" w:hAnsi="仿宋_GB2312" w:eastAsia="仿宋_GB2312" w:cs="仿宋_GB2312"/>
          <w:b w:val="0"/>
          <w:bCs w:val="0"/>
          <w:sz w:val="32"/>
          <w:szCs w:val="32"/>
          <w:lang w:eastAsia="zh-CN"/>
        </w:rPr>
        <w:t>。磋商会议结束会，</w:t>
      </w:r>
      <w:r>
        <w:rPr>
          <w:rFonts w:hint="eastAsia" w:ascii="仿宋_GB2312" w:hAnsi="仿宋_GB2312" w:eastAsia="仿宋_GB2312" w:cs="仿宋_GB2312"/>
          <w:b w:val="0"/>
          <w:bCs w:val="0"/>
          <w:sz w:val="32"/>
          <w:szCs w:val="32"/>
        </w:rPr>
        <w:t>在阿坝州档案馆官网上发布中标公告，无异议后发出中标通知书，并签定合同，开始项目的实施。项目实施完成后，成立验收小组，对项目成果进行验收，并拨付相关款项。</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（二）项目管理情况</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仿宋_GB2312" w:hAnsi="仿宋_GB2312" w:eastAsia="仿宋_GB2312" w:cs="仿宋_GB2312"/>
          <w:b w:val="0"/>
          <w:bCs w:val="0"/>
          <w:sz w:val="32"/>
          <w:szCs w:val="32"/>
        </w:rPr>
        <w:t>项目实施流程规范，在实施过程中，严格按照财经纪律进行，对财务制度不清楚，不了解的地方随时咨询州纪委监委派驻州委办公室纪检监察组和州财政局相关科室，同时，在阿坝州档案馆官网上进行了公示，做到公开、透明，资金</w:t>
      </w:r>
      <w:r>
        <w:rPr>
          <w:rFonts w:hint="eastAsia" w:ascii="仿宋_GB2312" w:hAnsi="仿宋_GB2312" w:eastAsia="仿宋_GB2312" w:cs="仿宋_GB2312"/>
          <w:b w:val="0"/>
          <w:bCs w:val="0"/>
          <w:sz w:val="32"/>
          <w:szCs w:val="32"/>
          <w:lang w:val="zh-CN" w:eastAsia="zh-CN"/>
        </w:rPr>
        <w:t>使用合理，安全，达到数字化的最佳效果。</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（三）项目监管情况</w:t>
      </w:r>
    </w:p>
    <w:p>
      <w:pPr>
        <w:keepNext w:val="0"/>
        <w:keepLines w:val="0"/>
        <w:pageBreakBefore w:val="0"/>
        <w:widowControl w:val="0"/>
        <w:kinsoku/>
        <w:wordWrap/>
        <w:overflowPunct/>
        <w:topLinePunct w:val="0"/>
        <w:autoSpaceDE/>
        <w:autoSpaceDN/>
        <w:bidi w:val="0"/>
        <w:spacing w:line="48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项目的监管部门主要是州纪检组和州财政局，监管手段是首先是对项目填报重大事项决策报备表，在召开涉及重大决策的会议前，我馆提前3个工作日向州纪委监委派驻州委办公室纪检监察组提交相关文件、法律法规和政策依据等相关资料；相关会议召开后及时将该次会议纪要及相关资料报送州纪委监委派驻州委办公室第一纪检监察组备案。州财政局的监管是在项目前期资金拨付时需确定采购的方式和程序，在项目款支付过程中做好合同的审核和各项材料的完整．该项目实施以来，效果比较明显，适时抢救和保护了古籍资料的完整和科研成果的后续利用。</w:t>
      </w:r>
    </w:p>
    <w:p>
      <w:pPr>
        <w:keepNext w:val="0"/>
        <w:keepLines w:val="0"/>
        <w:pageBreakBefore w:val="0"/>
        <w:widowControl w:val="0"/>
        <w:kinsoku/>
        <w:wordWrap/>
        <w:overflowPunct/>
        <w:topLinePunct w:val="0"/>
        <w:autoSpaceDE/>
        <w:autoSpaceDN/>
        <w:bidi w:val="0"/>
        <w:spacing w:line="48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四、项目绩效情况</w:t>
      </w:r>
    </w:p>
    <w:p>
      <w:pPr>
        <w:keepNext w:val="0"/>
        <w:keepLines w:val="0"/>
        <w:pageBreakBefore w:val="0"/>
        <w:widowControl w:val="0"/>
        <w:kinsoku/>
        <w:wordWrap/>
        <w:overflowPunct/>
        <w:topLinePunct w:val="0"/>
        <w:autoSpaceDE/>
        <w:autoSpaceDN/>
        <w:bidi w:val="0"/>
        <w:spacing w:line="48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项目实施完成后，由供应商修复完成一套</w:t>
      </w:r>
      <w:r>
        <w:rPr>
          <w:rFonts w:hint="eastAsia" w:ascii="仿宋_GB2312" w:hAnsi="仿宋_GB2312" w:eastAsia="仿宋_GB2312" w:cs="仿宋_GB2312"/>
          <w:b w:val="0"/>
          <w:bCs w:val="0"/>
          <w:sz w:val="32"/>
          <w:szCs w:val="32"/>
          <w:lang w:val="en-US" w:eastAsia="zh-CN"/>
        </w:rPr>
        <w:t>《理番厅志》（共六册）原件，并接收了500册出版物。</w:t>
      </w:r>
      <w:r>
        <w:rPr>
          <w:rFonts w:hint="eastAsia" w:ascii="仿宋_GB2312" w:hAnsi="仿宋_GB2312" w:eastAsia="仿宋_GB2312" w:cs="仿宋_GB2312"/>
          <w:b w:val="0"/>
          <w:bCs w:val="0"/>
          <w:sz w:val="32"/>
          <w:szCs w:val="32"/>
        </w:rPr>
        <w:t>项目的社会效益明显，对于研究清朝同治时期的理番县的地理位置、人文风俗和事件概览具有极大的参考作用。</w:t>
      </w:r>
    </w:p>
    <w:p>
      <w:pPr>
        <w:keepNext w:val="0"/>
        <w:keepLines w:val="0"/>
        <w:pageBreakBefore w:val="0"/>
        <w:widowControl w:val="0"/>
        <w:kinsoku/>
        <w:wordWrap/>
        <w:overflowPunct/>
        <w:topLinePunct w:val="0"/>
        <w:autoSpaceDE/>
        <w:autoSpaceDN/>
        <w:bidi w:val="0"/>
        <w:spacing w:line="48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五、评价结论及建议</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（一）评价结论</w:t>
      </w:r>
    </w:p>
    <w:p>
      <w:pPr>
        <w:keepNext w:val="0"/>
        <w:keepLines w:val="0"/>
        <w:pageBreakBefore w:val="0"/>
        <w:widowControl w:val="0"/>
        <w:kinsoku/>
        <w:wordWrap/>
        <w:overflowPunct/>
        <w:topLinePunct w:val="0"/>
        <w:autoSpaceDE/>
        <w:autoSpaceDN/>
        <w:bidi w:val="0"/>
        <w:spacing w:line="48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自查评分为</w:t>
      </w:r>
      <w:r>
        <w:rPr>
          <w:rFonts w:hint="eastAsia" w:ascii="仿宋_GB2312" w:hAnsi="仿宋_GB2312" w:eastAsia="仿宋_GB2312" w:cs="仿宋_GB2312"/>
          <w:b w:val="0"/>
          <w:bCs w:val="0"/>
          <w:sz w:val="32"/>
          <w:szCs w:val="32"/>
          <w:lang w:val="en-US" w:eastAsia="zh-CN"/>
        </w:rPr>
        <w:t>9３分，</w:t>
      </w:r>
      <w:r>
        <w:rPr>
          <w:rFonts w:hint="eastAsia" w:ascii="仿宋_GB2312" w:hAnsi="仿宋_GB2312" w:eastAsia="仿宋_GB2312" w:cs="仿宋_GB2312"/>
          <w:b w:val="0"/>
          <w:bCs w:val="0"/>
          <w:sz w:val="32"/>
          <w:szCs w:val="32"/>
        </w:rPr>
        <w:t>项目实施进度理想，</w:t>
      </w:r>
      <w:r>
        <w:rPr>
          <w:rFonts w:hint="eastAsia" w:ascii="仿宋_GB2312" w:hAnsi="仿宋_GB2312" w:eastAsia="仿宋_GB2312" w:cs="仿宋_GB2312"/>
          <w:b w:val="0"/>
          <w:bCs w:val="0"/>
          <w:sz w:val="32"/>
          <w:szCs w:val="32"/>
          <w:lang w:eastAsia="zh-CN"/>
        </w:rPr>
        <w:t>修复精度高</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并由四川西部文献修复中心出具《古籍</w:t>
      </w:r>
      <w:r>
        <w:rPr>
          <w:rFonts w:hint="default" w:ascii="仿宋_GB2312" w:hAnsi="仿宋_GB2312" w:eastAsia="仿宋_GB2312" w:cs="仿宋_GB2312"/>
          <w:b w:val="0"/>
          <w:bCs w:val="0"/>
          <w:sz w:val="32"/>
          <w:szCs w:val="32"/>
          <w:lang w:val="en" w:eastAsia="zh-CN"/>
        </w:rPr>
        <w:t>&lt;</w:t>
      </w:r>
      <w:r>
        <w:rPr>
          <w:rFonts w:hint="eastAsia" w:ascii="仿宋_GB2312" w:hAnsi="仿宋_GB2312" w:eastAsia="仿宋_GB2312" w:cs="仿宋_GB2312"/>
          <w:b w:val="0"/>
          <w:bCs w:val="0"/>
          <w:sz w:val="32"/>
          <w:szCs w:val="32"/>
          <w:lang w:val="en" w:eastAsia="zh-CN"/>
        </w:rPr>
        <w:t>理番厅志</w:t>
      </w:r>
      <w:r>
        <w:rPr>
          <w:rFonts w:hint="default" w:ascii="仿宋_GB2312" w:hAnsi="仿宋_GB2312" w:eastAsia="仿宋_GB2312" w:cs="仿宋_GB2312"/>
          <w:b w:val="0"/>
          <w:bCs w:val="0"/>
          <w:sz w:val="32"/>
          <w:szCs w:val="32"/>
          <w:lang w:val="en" w:eastAsia="zh-CN"/>
        </w:rPr>
        <w:t>&gt;</w:t>
      </w:r>
      <w:r>
        <w:rPr>
          <w:rFonts w:hint="eastAsia" w:ascii="仿宋_GB2312" w:hAnsi="仿宋_GB2312" w:eastAsia="仿宋_GB2312" w:cs="仿宋_GB2312"/>
          <w:b w:val="0"/>
          <w:bCs w:val="0"/>
          <w:sz w:val="32"/>
          <w:szCs w:val="32"/>
          <w:lang w:val="en" w:eastAsia="zh-CN"/>
        </w:rPr>
        <w:t>修复档案》</w:t>
      </w:r>
      <w:r>
        <w:rPr>
          <w:rFonts w:hint="eastAsia" w:ascii="仿宋_GB2312" w:hAnsi="仿宋_GB2312" w:eastAsia="仿宋_GB2312" w:cs="仿宋_GB2312"/>
          <w:b w:val="0"/>
          <w:bCs w:val="0"/>
          <w:sz w:val="32"/>
          <w:szCs w:val="32"/>
        </w:rPr>
        <w:t>。</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（二）存在的问题</w:t>
      </w:r>
    </w:p>
    <w:p>
      <w:pPr>
        <w:keepNext w:val="0"/>
        <w:keepLines w:val="0"/>
        <w:pageBreakBefore w:val="0"/>
        <w:widowControl w:val="0"/>
        <w:kinsoku/>
        <w:wordWrap/>
        <w:overflowPunct/>
        <w:topLinePunct w:val="0"/>
        <w:autoSpaceDE/>
        <w:autoSpaceDN/>
        <w:bidi w:val="0"/>
        <w:spacing w:line="48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绩效目标设定还需进一步科学、规范，制度有待进一步完善，工作机制、工作手段有待进一步加强。</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（三）相关建议</w:t>
      </w:r>
    </w:p>
    <w:p>
      <w:pPr>
        <w:keepNext w:val="0"/>
        <w:keepLines w:val="0"/>
        <w:pageBreakBefore w:val="0"/>
        <w:widowControl w:val="0"/>
        <w:kinsoku/>
        <w:wordWrap/>
        <w:overflowPunct/>
        <w:topLinePunct w:val="0"/>
        <w:autoSpaceDE/>
        <w:autoSpaceDN/>
        <w:bidi w:val="0"/>
        <w:spacing w:line="48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无</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spacing w:line="480" w:lineRule="exact"/>
        <w:textAlignment w:val="auto"/>
      </w:pPr>
      <w:r>
        <w:rPr>
          <w:rFonts w:hint="eastAsia"/>
        </w:rPr>
        <w:t>　</w:t>
      </w:r>
    </w:p>
    <w:p>
      <w:pPr>
        <w:pStyle w:val="7"/>
        <w:spacing w:before="93"/>
        <w:rPr>
          <w:rFonts w:cs="宋体"/>
          <w:sz w:val="32"/>
          <w:szCs w:val="32"/>
          <w:shd w:val="clear" w:color="auto" w:fill="FFFFFF"/>
          <w:lang w:val="zh-CN"/>
        </w:rPr>
      </w:pPr>
    </w:p>
    <w:p>
      <w:pPr>
        <w:pStyle w:val="7"/>
        <w:spacing w:before="93"/>
        <w:rPr>
          <w:rFonts w:hint="eastAsia" w:cs="宋体"/>
          <w:sz w:val="32"/>
          <w:szCs w:val="32"/>
          <w:shd w:val="clear" w:color="auto" w:fill="FFFFFF"/>
          <w:lang w:val="zh-CN"/>
        </w:rPr>
      </w:pPr>
    </w:p>
    <w:p>
      <w:pPr>
        <w:pStyle w:val="7"/>
        <w:spacing w:before="93"/>
        <w:rPr>
          <w:rFonts w:hint="eastAsia" w:cs="宋体"/>
          <w:sz w:val="32"/>
          <w:szCs w:val="32"/>
          <w:shd w:val="clear" w:color="auto" w:fill="FFFFFF"/>
          <w:lang w:val="zh-CN"/>
        </w:rPr>
      </w:pPr>
    </w:p>
    <w:p>
      <w:pPr>
        <w:pStyle w:val="7"/>
        <w:spacing w:before="93"/>
        <w:rPr>
          <w:rFonts w:hint="eastAsia" w:cs="宋体"/>
          <w:sz w:val="32"/>
          <w:szCs w:val="32"/>
          <w:shd w:val="clear" w:color="auto" w:fill="FFFFFF"/>
          <w:lang w:val="zh-CN"/>
        </w:rPr>
      </w:pPr>
    </w:p>
    <w:p>
      <w:pPr>
        <w:pStyle w:val="7"/>
        <w:spacing w:before="93"/>
        <w:rPr>
          <w:rFonts w:hint="eastAsia" w:cs="宋体"/>
          <w:sz w:val="32"/>
          <w:szCs w:val="32"/>
          <w:shd w:val="clear" w:color="auto" w:fill="FFFFFF"/>
          <w:lang w:val="zh-CN"/>
        </w:rPr>
      </w:pPr>
    </w:p>
    <w:p>
      <w:pPr>
        <w:pStyle w:val="7"/>
        <w:spacing w:before="93"/>
        <w:rPr>
          <w:rFonts w:hint="eastAsia" w:cs="宋体"/>
          <w:sz w:val="32"/>
          <w:szCs w:val="32"/>
          <w:shd w:val="clear" w:color="auto" w:fill="FFFFFF"/>
          <w:lang w:val="zh-CN"/>
        </w:rPr>
      </w:pPr>
    </w:p>
    <w:p>
      <w:pPr>
        <w:pStyle w:val="7"/>
        <w:spacing w:before="93"/>
        <w:rPr>
          <w:rFonts w:hint="eastAsia" w:cs="宋体"/>
          <w:sz w:val="32"/>
          <w:szCs w:val="32"/>
          <w:shd w:val="clear" w:color="auto" w:fill="FFFFFF"/>
          <w:lang w:val="zh-CN"/>
        </w:rPr>
      </w:pPr>
    </w:p>
    <w:p>
      <w:pPr>
        <w:pStyle w:val="7"/>
        <w:spacing w:before="93"/>
        <w:rPr>
          <w:rFonts w:hint="eastAsia" w:cs="宋体"/>
          <w:sz w:val="32"/>
          <w:szCs w:val="32"/>
          <w:shd w:val="clear" w:color="auto" w:fill="FFFFFF"/>
          <w:lang w:val="zh-CN"/>
        </w:rPr>
      </w:pPr>
    </w:p>
    <w:p>
      <w:pPr>
        <w:pStyle w:val="7"/>
        <w:spacing w:before="93"/>
        <w:rPr>
          <w:rFonts w:hint="eastAsia" w:cs="宋体"/>
          <w:sz w:val="32"/>
          <w:szCs w:val="32"/>
          <w:shd w:val="clear" w:color="auto" w:fill="FFFFFF"/>
          <w:lang w:val="zh-CN"/>
        </w:rPr>
      </w:pPr>
    </w:p>
    <w:p>
      <w:pPr>
        <w:pStyle w:val="7"/>
        <w:spacing w:before="93"/>
        <w:rPr>
          <w:rFonts w:hint="eastAsia" w:cs="宋体"/>
          <w:sz w:val="32"/>
          <w:szCs w:val="32"/>
          <w:shd w:val="clear" w:color="auto" w:fill="FFFFFF"/>
          <w:lang w:val="zh-CN"/>
        </w:rPr>
      </w:pPr>
    </w:p>
    <w:p>
      <w:pPr>
        <w:pStyle w:val="7"/>
        <w:spacing w:before="93"/>
        <w:rPr>
          <w:rFonts w:hint="eastAsia" w:cs="宋体"/>
          <w:sz w:val="32"/>
          <w:szCs w:val="32"/>
          <w:shd w:val="clear" w:color="auto" w:fill="FFFFFF"/>
          <w:lang w:val="zh-CN"/>
        </w:rPr>
      </w:pPr>
    </w:p>
    <w:p>
      <w:pPr>
        <w:pStyle w:val="7"/>
        <w:spacing w:before="93"/>
        <w:rPr>
          <w:rFonts w:hint="eastAsia" w:cs="宋体"/>
          <w:sz w:val="32"/>
          <w:szCs w:val="32"/>
          <w:shd w:val="clear" w:color="auto" w:fill="FFFFFF"/>
          <w:lang w:val="zh-CN"/>
        </w:rPr>
      </w:pPr>
    </w:p>
    <w:p>
      <w:pPr>
        <w:pStyle w:val="7"/>
        <w:spacing w:before="93"/>
        <w:rPr>
          <w:rFonts w:hint="eastAsia" w:cs="宋体"/>
          <w:sz w:val="32"/>
          <w:szCs w:val="32"/>
          <w:shd w:val="clear" w:color="auto" w:fill="FFFFFF"/>
          <w:lang w:val="zh-CN"/>
        </w:rPr>
      </w:pPr>
    </w:p>
    <w:p>
      <w:pPr>
        <w:pStyle w:val="7"/>
        <w:spacing w:before="93"/>
        <w:rPr>
          <w:rFonts w:hint="eastAsia" w:cs="宋体"/>
          <w:sz w:val="32"/>
          <w:szCs w:val="32"/>
          <w:shd w:val="clear" w:color="auto" w:fill="FFFFFF"/>
          <w:lang w:val="zh-CN"/>
        </w:rPr>
      </w:pPr>
    </w:p>
    <w:p>
      <w:pPr>
        <w:pStyle w:val="7"/>
        <w:spacing w:before="93"/>
        <w:rPr>
          <w:rFonts w:hint="eastAsia" w:cs="宋体"/>
          <w:sz w:val="32"/>
          <w:szCs w:val="32"/>
          <w:shd w:val="clear" w:color="auto" w:fill="FFFFFF"/>
          <w:lang w:val="zh-CN"/>
        </w:rPr>
      </w:pPr>
    </w:p>
    <w:p>
      <w:pPr>
        <w:pStyle w:val="17"/>
        <w:keepNext w:val="0"/>
        <w:keepLines w:val="0"/>
        <w:pageBreakBefore w:val="0"/>
        <w:widowControl w:val="0"/>
        <w:kinsoku/>
        <w:wordWrap/>
        <w:overflowPunct/>
        <w:topLinePunct w:val="0"/>
        <w:autoSpaceDE/>
        <w:autoSpaceDN/>
        <w:bidi w:val="0"/>
        <w:spacing w:line="480" w:lineRule="exact"/>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附件</w:t>
      </w:r>
    </w:p>
    <w:p>
      <w:pPr>
        <w:pStyle w:val="17"/>
        <w:keepNext w:val="0"/>
        <w:keepLines w:val="0"/>
        <w:pageBreakBefore w:val="0"/>
        <w:widowControl w:val="0"/>
        <w:kinsoku/>
        <w:wordWrap/>
        <w:overflowPunct/>
        <w:topLinePunct w:val="0"/>
        <w:autoSpaceDE/>
        <w:autoSpaceDN/>
        <w:bidi w:val="0"/>
        <w:spacing w:line="480" w:lineRule="exact"/>
        <w:ind w:firstLine="1600" w:firstLineChars="400"/>
        <w:jc w:val="both"/>
        <w:textAlignment w:val="auto"/>
        <w:rPr>
          <w:rFonts w:hint="eastAsia" w:ascii="方正小标宋简体" w:hAnsi="Times New Roman" w:eastAsia="方正小标宋简体" w:cs="Times New Roman"/>
          <w:color w:val="auto"/>
          <w:kern w:val="0"/>
          <w:sz w:val="40"/>
          <w:szCs w:val="44"/>
          <w:lang w:val="en-US" w:eastAsia="zh-CN" w:bidi="ar-SA"/>
        </w:rPr>
      </w:pPr>
      <w:r>
        <w:rPr>
          <w:rFonts w:hint="eastAsia" w:ascii="方正小标宋简体" w:hAnsi="Times New Roman" w:eastAsia="方正小标宋简体" w:cs="Times New Roman"/>
          <w:b w:val="0"/>
          <w:bCs w:val="0"/>
          <w:color w:val="auto"/>
          <w:kern w:val="0"/>
          <w:sz w:val="40"/>
          <w:szCs w:val="44"/>
          <w:lang w:val="en-US" w:eastAsia="zh-CN" w:bidi="ar-SA"/>
        </w:rPr>
        <w:t>阿坝记忆——庆祝中国共产党成立100周年档案史料展项目支</w:t>
      </w:r>
      <w:r>
        <w:rPr>
          <w:rFonts w:hint="eastAsia" w:ascii="方正小标宋简体" w:hAnsi="Times New Roman" w:eastAsia="方正小标宋简体" w:cs="Times New Roman"/>
          <w:color w:val="auto"/>
          <w:kern w:val="0"/>
          <w:sz w:val="40"/>
          <w:szCs w:val="44"/>
          <w:lang w:val="en-US" w:eastAsia="zh-CN" w:bidi="ar-SA"/>
        </w:rPr>
        <w:t>出绩效自评报告</w:t>
      </w:r>
    </w:p>
    <w:p>
      <w:pPr>
        <w:pStyle w:val="17"/>
        <w:keepNext w:val="0"/>
        <w:keepLines w:val="0"/>
        <w:pageBreakBefore w:val="0"/>
        <w:widowControl w:val="0"/>
        <w:kinsoku/>
        <w:wordWrap/>
        <w:overflowPunct/>
        <w:topLinePunct w:val="0"/>
        <w:autoSpaceDE/>
        <w:autoSpaceDN/>
        <w:bidi w:val="0"/>
        <w:spacing w:line="480" w:lineRule="exact"/>
        <w:ind w:firstLine="1600" w:firstLineChars="400"/>
        <w:jc w:val="both"/>
        <w:textAlignment w:val="auto"/>
        <w:rPr>
          <w:rFonts w:hint="eastAsia" w:ascii="方正小标宋简体" w:hAnsi="Times New Roman" w:eastAsia="方正小标宋简体" w:cs="Times New Roman"/>
          <w:b w:val="0"/>
          <w:bCs w:val="0"/>
          <w:color w:val="auto"/>
          <w:kern w:val="0"/>
          <w:sz w:val="40"/>
          <w:szCs w:val="44"/>
          <w:lang w:val="en-US" w:eastAsia="zh-CN" w:bidi="ar-SA"/>
        </w:rPr>
      </w:pPr>
    </w:p>
    <w:p>
      <w:pPr>
        <w:pStyle w:val="17"/>
        <w:keepNext w:val="0"/>
        <w:keepLines w:val="0"/>
        <w:pageBreakBefore w:val="0"/>
        <w:widowControl w:val="0"/>
        <w:kinsoku/>
        <w:wordWrap/>
        <w:overflowPunct/>
        <w:topLinePunct w:val="0"/>
        <w:autoSpaceDE/>
        <w:autoSpaceDN/>
        <w:bidi w:val="0"/>
        <w:spacing w:line="480" w:lineRule="exact"/>
        <w:ind w:firstLine="1600" w:firstLineChars="400"/>
        <w:jc w:val="both"/>
        <w:textAlignment w:val="auto"/>
        <w:rPr>
          <w:rFonts w:hint="eastAsia" w:ascii="方正小标宋简体" w:hAnsi="Times New Roman" w:eastAsia="方正小标宋简体" w:cs="Times New Roman"/>
          <w:b w:val="0"/>
          <w:bCs w:val="0"/>
          <w:color w:val="auto"/>
          <w:kern w:val="0"/>
          <w:sz w:val="40"/>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一、项目概况</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（一）项目基本情况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t>1.职能职责</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为了隆重庆祝中国共产党成立100周年，展示阿坝各族儿女在中国共产党的领导下取得的翻天覆地的变化和历史成就，由中共阿坝州委主办，中共阿坝州委宣传部、阿坝州档案局、阿坝州档案馆承办的“</w:t>
      </w:r>
      <w:r>
        <w:rPr>
          <w:rFonts w:hint="eastAsia" w:ascii="仿宋_GB2312" w:hAnsi="仿宋_GB2312" w:eastAsia="仿宋_GB2312" w:cs="仿宋_GB2312"/>
          <w:b w:val="0"/>
          <w:bCs w:val="0"/>
          <w:sz w:val="32"/>
          <w:szCs w:val="32"/>
        </w:rPr>
        <w:t>阿坝</w:t>
      </w:r>
      <w:r>
        <w:rPr>
          <w:rFonts w:hint="eastAsia" w:ascii="仿宋_GB2312" w:hAnsi="仿宋_GB2312" w:eastAsia="仿宋_GB2312" w:cs="仿宋_GB2312"/>
          <w:b w:val="0"/>
          <w:bCs w:val="0"/>
          <w:sz w:val="32"/>
          <w:szCs w:val="32"/>
          <w:lang w:eastAsia="zh-CN"/>
        </w:rPr>
        <w:t>记忆——庆祝中国共产党成立</w:t>
      </w:r>
      <w:r>
        <w:rPr>
          <w:rFonts w:hint="eastAsia" w:ascii="仿宋_GB2312" w:hAnsi="仿宋_GB2312" w:eastAsia="仿宋_GB2312" w:cs="仿宋_GB2312"/>
          <w:b w:val="0"/>
          <w:bCs w:val="0"/>
          <w:sz w:val="32"/>
          <w:szCs w:val="32"/>
          <w:lang w:val="en-US" w:eastAsia="zh-CN"/>
        </w:rPr>
        <w:t>100周年档案史料展”定于7月开展。</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t>2</w:t>
      </w:r>
      <w:r>
        <w:rPr>
          <w:rFonts w:hint="default" w:ascii="仿宋_GB2312" w:hAnsi="仿宋_GB2312" w:eastAsia="仿宋_GB2312" w:cs="仿宋_GB2312"/>
          <w:b/>
          <w:bCs/>
          <w:sz w:val="32"/>
          <w:szCs w:val="32"/>
          <w:lang w:val="en"/>
        </w:rPr>
        <w:t>.</w:t>
      </w:r>
      <w:r>
        <w:rPr>
          <w:rFonts w:hint="eastAsia" w:ascii="仿宋_GB2312" w:hAnsi="仿宋_GB2312" w:eastAsia="仿宋_GB2312" w:cs="仿宋_GB2312"/>
          <w:b/>
          <w:bCs/>
          <w:sz w:val="32"/>
          <w:szCs w:val="32"/>
        </w:rPr>
        <w:t>立项依据及资金</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根据庆祝中国共产党成立</w:t>
      </w:r>
      <w:r>
        <w:rPr>
          <w:rFonts w:hint="eastAsia" w:ascii="仿宋_GB2312" w:hAnsi="仿宋_GB2312" w:eastAsia="仿宋_GB2312" w:cs="仿宋_GB2312"/>
          <w:b w:val="0"/>
          <w:bCs w:val="0"/>
          <w:sz w:val="32"/>
          <w:szCs w:val="32"/>
          <w:lang w:val="en-US" w:eastAsia="zh-CN"/>
        </w:rPr>
        <w:t>100周年暨党史学习教育小组下发的《关于印发＜阿坝州庆祝中国共产党成立100周年档案史实展工作方案＞和＜阿坝州庆祝中国共产党成立100周年文艺演出实施方案＞》的通知（阿庆学组〔2021〕8号，州政府办文通知〔2021〕Ｊ-188号文件。</w:t>
      </w:r>
      <w:r>
        <w:rPr>
          <w:rFonts w:hint="eastAsia" w:ascii="仿宋_GB2312" w:hAnsi="仿宋_GB2312" w:eastAsia="仿宋_GB2312" w:cs="仿宋_GB2312"/>
          <w:b w:val="0"/>
          <w:bCs w:val="0"/>
          <w:sz w:val="32"/>
          <w:szCs w:val="32"/>
        </w:rPr>
        <w:t>财政预算为</w:t>
      </w:r>
      <w:r>
        <w:rPr>
          <w:rFonts w:hint="eastAsia" w:ascii="仿宋_GB2312" w:hAnsi="仿宋_GB2312" w:eastAsia="仿宋_GB2312" w:cs="仿宋_GB2312"/>
          <w:b w:val="0"/>
          <w:bCs w:val="0"/>
          <w:sz w:val="32"/>
          <w:szCs w:val="32"/>
          <w:lang w:val="en-US" w:eastAsia="zh-CN"/>
        </w:rPr>
        <w:t>19</w:t>
      </w:r>
      <w:r>
        <w:rPr>
          <w:rFonts w:hint="eastAsia" w:ascii="仿宋_GB2312" w:hAnsi="仿宋_GB2312" w:eastAsia="仿宋_GB2312" w:cs="仿宋_GB2312"/>
          <w:b w:val="0"/>
          <w:bCs w:val="0"/>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sz w:val="32"/>
          <w:szCs w:val="32"/>
        </w:rPr>
      </w:pPr>
      <w:r>
        <w:rPr>
          <w:rFonts w:hint="default" w:ascii="仿宋_GB2312" w:hAnsi="仿宋_GB2312" w:eastAsia="仿宋_GB2312" w:cs="仿宋_GB2312"/>
          <w:b/>
          <w:bCs/>
          <w:sz w:val="32"/>
          <w:szCs w:val="32"/>
          <w:lang w:val="en"/>
        </w:rPr>
        <w:t>3.</w:t>
      </w:r>
      <w:r>
        <w:rPr>
          <w:rFonts w:hint="eastAsia" w:ascii="仿宋_GB2312" w:hAnsi="仿宋_GB2312" w:eastAsia="仿宋_GB2312" w:cs="仿宋_GB2312"/>
          <w:b/>
          <w:bCs/>
          <w:sz w:val="32"/>
          <w:szCs w:val="32"/>
        </w:rPr>
        <w:t>资金管理办法制定情况，资金支持具体项目的条件、范围与支持方式概况。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项目资金属于专项资金，</w:t>
      </w:r>
      <w:r>
        <w:rPr>
          <w:rFonts w:hint="eastAsia" w:ascii="仿宋_GB2312" w:hAnsi="仿宋_GB2312" w:eastAsia="仿宋_GB2312" w:cs="仿宋_GB2312"/>
          <w:b w:val="0"/>
          <w:bCs w:val="0"/>
          <w:sz w:val="32"/>
          <w:szCs w:val="32"/>
          <w:lang w:eastAsia="zh-CN"/>
        </w:rPr>
        <w:t>专项用于</w:t>
      </w:r>
      <w:r>
        <w:rPr>
          <w:rFonts w:hint="eastAsia" w:ascii="仿宋_GB2312" w:hAnsi="仿宋_GB2312" w:eastAsia="仿宋_GB2312" w:cs="仿宋_GB2312"/>
          <w:b w:val="0"/>
          <w:bCs w:val="0"/>
          <w:sz w:val="32"/>
          <w:szCs w:val="32"/>
          <w:lang w:val="en-US" w:eastAsia="zh-CN"/>
        </w:rPr>
        <w:t>“阿坝州庆祝中国共产党成立100周年档案史料展”，</w:t>
      </w:r>
      <w:r>
        <w:rPr>
          <w:rFonts w:hint="eastAsia" w:ascii="仿宋_GB2312" w:hAnsi="仿宋_GB2312" w:eastAsia="仿宋_GB2312" w:cs="仿宋_GB2312"/>
          <w:b w:val="0"/>
          <w:bCs w:val="0"/>
          <w:sz w:val="32"/>
          <w:szCs w:val="32"/>
          <w:lang w:eastAsia="zh-CN"/>
        </w:rPr>
        <w:t>由财政局依法依规进行资金监管，据实核拨资金</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4．资金分配的原则及考虑因素。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资金分配原则是以</w:t>
      </w:r>
      <w:r>
        <w:rPr>
          <w:rFonts w:hint="eastAsia" w:ascii="仿宋_GB2312" w:hAnsi="仿宋_GB2312" w:eastAsia="仿宋_GB2312" w:cs="仿宋_GB2312"/>
          <w:b w:val="0"/>
          <w:bCs w:val="0"/>
          <w:sz w:val="32"/>
          <w:szCs w:val="32"/>
          <w:lang w:eastAsia="zh-CN"/>
        </w:rPr>
        <w:t>烘托氛围</w:t>
      </w:r>
      <w:r>
        <w:rPr>
          <w:rFonts w:hint="eastAsia" w:ascii="仿宋_GB2312" w:hAnsi="仿宋_GB2312" w:eastAsia="仿宋_GB2312" w:cs="仿宋_GB2312"/>
          <w:b w:val="0"/>
          <w:bCs w:val="0"/>
          <w:sz w:val="32"/>
          <w:szCs w:val="32"/>
          <w:lang w:val="en-US" w:eastAsia="zh-CN"/>
        </w:rPr>
        <w:t>，展示成就为主线，主要对开展及文化墙设计、外围绿化、部分设备等为主要考虑因素。</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（二）项目绩效目标</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1.项目主要内容。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主要是对地下停车场、</w:t>
      </w:r>
      <w:r>
        <w:rPr>
          <w:rFonts w:hint="eastAsia" w:ascii="仿宋_GB2312" w:hAnsi="仿宋_GB2312" w:eastAsia="仿宋_GB2312" w:cs="仿宋_GB2312"/>
          <w:b w:val="0"/>
          <w:bCs w:val="0"/>
          <w:sz w:val="32"/>
          <w:szCs w:val="32"/>
          <w:lang w:val="en-US" w:eastAsia="zh-CN"/>
        </w:rPr>
        <w:t>一层开展会场布置,增加二楼展厅设备费用,一至四层楼道文化墙设计制作，劳务费等内容。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2.项目应实现的具体绩效目标。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“阿坝记忆</w:t>
      </w:r>
      <w:r>
        <w:rPr>
          <w:rFonts w:hint="eastAsia" w:ascii="仿宋_GB2312" w:hAnsi="仿宋_GB2312" w:eastAsia="仿宋_GB2312" w:cs="仿宋_GB2312"/>
          <w:b w:val="0"/>
          <w:bCs w:val="0"/>
          <w:sz w:val="32"/>
          <w:szCs w:val="32"/>
          <w:lang w:eastAsia="zh-CN"/>
        </w:rPr>
        <w:t>——庆祝中国共产党成立</w:t>
      </w:r>
      <w:r>
        <w:rPr>
          <w:rFonts w:hint="eastAsia" w:ascii="仿宋_GB2312" w:hAnsi="仿宋_GB2312" w:eastAsia="仿宋_GB2312" w:cs="仿宋_GB2312"/>
          <w:b w:val="0"/>
          <w:bCs w:val="0"/>
          <w:sz w:val="32"/>
          <w:szCs w:val="32"/>
          <w:lang w:val="en-US" w:eastAsia="zh-CN"/>
        </w:rPr>
        <w:t>100周年档案史料展</w:t>
      </w:r>
      <w:r>
        <w:rPr>
          <w:rFonts w:hint="eastAsia" w:ascii="仿宋_GB2312" w:hAnsi="仿宋_GB2312" w:eastAsia="仿宋_GB2312" w:cs="仿宋_GB2312"/>
          <w:b w:val="0"/>
          <w:bCs w:val="0"/>
          <w:sz w:val="32"/>
          <w:szCs w:val="32"/>
        </w:rPr>
        <w:t>”以历史为脉络，以档案为载体，分为“尘封档案，岁月印迹；红色基因，长征精神；峥嵘岁月，奋斗历程；净土阿坝，生态家园”四个展区。</w:t>
      </w:r>
      <w:r>
        <w:rPr>
          <w:rFonts w:hint="eastAsia" w:ascii="仿宋_GB2312" w:hAnsi="仿宋_GB2312" w:eastAsia="仿宋_GB2312" w:cs="仿宋_GB2312"/>
          <w:b w:val="0"/>
          <w:bCs w:val="0"/>
          <w:sz w:val="32"/>
          <w:szCs w:val="32"/>
          <w:lang w:val="en-US" w:eastAsia="zh-CN"/>
        </w:rPr>
        <w:t>展示阿坝州悠久的历史文化，展示我州各族儿女在中国共产党领导下发生的翻天覆地的变化和举世瞩目的成就，提升档案馆的综合接待能力</w:t>
      </w:r>
      <w:r>
        <w:rPr>
          <w:rFonts w:hint="default" w:ascii="仿宋_GB2312" w:hAnsi="仿宋_GB2312" w:eastAsia="仿宋_GB2312" w:cs="仿宋_GB2312"/>
          <w:b w:val="0"/>
          <w:bCs w:val="0"/>
          <w:sz w:val="32"/>
          <w:szCs w:val="32"/>
          <w:lang w:val="en" w:eastAsia="zh-CN"/>
        </w:rPr>
        <w:t>,</w:t>
      </w:r>
      <w:r>
        <w:rPr>
          <w:rFonts w:hint="eastAsia" w:ascii="仿宋_GB2312" w:hAnsi="仿宋_GB2312" w:eastAsia="仿宋_GB2312" w:cs="仿宋_GB2312"/>
          <w:b w:val="0"/>
          <w:bCs w:val="0"/>
          <w:sz w:val="32"/>
          <w:szCs w:val="32"/>
        </w:rPr>
        <w:t>整个展览</w:t>
      </w:r>
      <w:r>
        <w:rPr>
          <w:rFonts w:hint="eastAsia" w:ascii="仿宋_GB2312" w:hAnsi="仿宋_GB2312" w:eastAsia="仿宋_GB2312" w:cs="仿宋_GB2312"/>
          <w:b w:val="0"/>
          <w:bCs w:val="0"/>
          <w:sz w:val="32"/>
          <w:szCs w:val="32"/>
          <w:lang w:eastAsia="zh-CN"/>
        </w:rPr>
        <w:t>将从档案的视角让参观者</w:t>
      </w:r>
      <w:r>
        <w:rPr>
          <w:rFonts w:hint="eastAsia" w:ascii="仿宋_GB2312" w:hAnsi="仿宋_GB2312" w:eastAsia="仿宋_GB2312" w:cs="仿宋_GB2312"/>
          <w:b w:val="0"/>
          <w:bCs w:val="0"/>
          <w:sz w:val="32"/>
          <w:szCs w:val="32"/>
          <w:lang w:val="en-US" w:eastAsia="zh-CN"/>
        </w:rPr>
        <w:t>亲</w:t>
      </w:r>
      <w:r>
        <w:rPr>
          <w:rFonts w:hint="eastAsia" w:ascii="仿宋_GB2312" w:hAnsi="仿宋_GB2312" w:eastAsia="仿宋_GB2312" w:cs="仿宋_GB2312"/>
          <w:b w:val="0"/>
          <w:bCs w:val="0"/>
          <w:sz w:val="32"/>
          <w:szCs w:val="32"/>
        </w:rPr>
        <w:t>身感受一场</w:t>
      </w:r>
      <w:r>
        <w:rPr>
          <w:rFonts w:hint="eastAsia" w:ascii="仿宋_GB2312" w:hAnsi="仿宋_GB2312" w:eastAsia="仿宋_GB2312" w:cs="仿宋_GB2312"/>
          <w:b w:val="0"/>
          <w:bCs w:val="0"/>
          <w:sz w:val="32"/>
          <w:szCs w:val="32"/>
          <w:lang w:val="en-US" w:eastAsia="zh-CN"/>
        </w:rPr>
        <w:t>历经</w:t>
      </w:r>
      <w:r>
        <w:rPr>
          <w:rFonts w:hint="eastAsia" w:ascii="仿宋_GB2312" w:hAnsi="仿宋_GB2312" w:eastAsia="仿宋_GB2312" w:cs="仿宋_GB2312"/>
          <w:b w:val="0"/>
          <w:bCs w:val="0"/>
          <w:sz w:val="32"/>
          <w:szCs w:val="32"/>
        </w:rPr>
        <w:t>千年时光淬炼而成的档案盛宴</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 w:eastAsia="zh-CN"/>
        </w:rPr>
        <w:t>为中国共产党建党</w:t>
      </w:r>
      <w:r>
        <w:rPr>
          <w:rFonts w:hint="eastAsia" w:ascii="仿宋_GB2312" w:hAnsi="仿宋_GB2312" w:eastAsia="仿宋_GB2312" w:cs="仿宋_GB2312"/>
          <w:b w:val="0"/>
          <w:bCs w:val="0"/>
          <w:sz w:val="32"/>
          <w:szCs w:val="32"/>
          <w:lang w:val="en-US" w:eastAsia="zh-CN"/>
        </w:rPr>
        <w:t>100周年献上一份厚礼。</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3.分析评价申报内容的符合性。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申报内容与事实相符，通过加强项目建设，</w:t>
      </w:r>
      <w:r>
        <w:rPr>
          <w:rFonts w:hint="eastAsia" w:ascii="仿宋_GB2312" w:hAnsi="仿宋_GB2312" w:eastAsia="仿宋_GB2312" w:cs="仿宋_GB2312"/>
          <w:b w:val="0"/>
          <w:bCs w:val="0"/>
          <w:sz w:val="32"/>
          <w:szCs w:val="32"/>
          <w:lang w:val="en" w:eastAsia="zh-CN"/>
        </w:rPr>
        <w:t>营造了</w:t>
      </w:r>
      <w:r>
        <w:rPr>
          <w:rFonts w:hint="eastAsia" w:ascii="仿宋_GB2312" w:hAnsi="仿宋_GB2312" w:eastAsia="仿宋_GB2312" w:cs="仿宋_GB2312"/>
          <w:b w:val="0"/>
          <w:bCs w:val="0"/>
          <w:sz w:val="32"/>
          <w:szCs w:val="32"/>
          <w:lang w:eastAsia="zh-CN"/>
        </w:rPr>
        <w:t>建党</w:t>
      </w:r>
      <w:r>
        <w:rPr>
          <w:rFonts w:hint="eastAsia" w:ascii="仿宋_GB2312" w:hAnsi="仿宋_GB2312" w:eastAsia="仿宋_GB2312" w:cs="仿宋_GB2312"/>
          <w:b w:val="0"/>
          <w:bCs w:val="0"/>
          <w:sz w:val="32"/>
          <w:szCs w:val="32"/>
          <w:lang w:val="en-US" w:eastAsia="zh-CN"/>
        </w:rPr>
        <w:t>100周年</w:t>
      </w:r>
      <w:r>
        <w:rPr>
          <w:rFonts w:hint="eastAsia" w:ascii="仿宋_GB2312" w:hAnsi="仿宋_GB2312" w:eastAsia="仿宋_GB2312" w:cs="仿宋_GB2312"/>
          <w:b w:val="0"/>
          <w:bCs w:val="0"/>
          <w:sz w:val="32"/>
          <w:szCs w:val="32"/>
          <w:lang w:val="en" w:eastAsia="zh-CN"/>
        </w:rPr>
        <w:t>浓重、热烈、喜庆的节日氛围，</w:t>
      </w:r>
      <w:r>
        <w:rPr>
          <w:rFonts w:hint="eastAsia" w:ascii="仿宋_GB2312" w:hAnsi="仿宋_GB2312" w:eastAsia="仿宋_GB2312" w:cs="仿宋_GB2312"/>
          <w:b w:val="0"/>
          <w:bCs w:val="0"/>
          <w:sz w:val="32"/>
          <w:szCs w:val="32"/>
          <w:lang w:eastAsia="zh-CN"/>
        </w:rPr>
        <w:t>也彰显了档案的历史价值</w:t>
      </w:r>
      <w:r>
        <w:rPr>
          <w:rFonts w:hint="eastAsia" w:ascii="仿宋_GB2312" w:hAnsi="仿宋_GB2312" w:eastAsia="仿宋_GB2312" w:cs="仿宋_GB2312"/>
          <w:b w:val="0"/>
          <w:bCs w:val="0"/>
          <w:sz w:val="32"/>
          <w:szCs w:val="32"/>
          <w:lang w:val="en-US" w:eastAsia="zh-CN"/>
        </w:rPr>
        <w:t>。</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（三）项目自评步骤及方法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按照</w:t>
      </w:r>
      <w:r>
        <w:rPr>
          <w:rFonts w:hint="eastAsia" w:ascii="仿宋_GB2312" w:hAnsi="仿宋_GB2312" w:eastAsia="仿宋_GB2312" w:cs="仿宋_GB2312"/>
          <w:b w:val="0"/>
          <w:bCs w:val="0"/>
          <w:sz w:val="32"/>
          <w:szCs w:val="32"/>
          <w:lang w:eastAsia="zh-CN"/>
        </w:rPr>
        <w:t>科室负责制的要求，由各科室根据项目实施情况拟定专项预算项目支出</w:t>
      </w:r>
      <w:r>
        <w:rPr>
          <w:rFonts w:hint="eastAsia" w:ascii="仿宋_GB2312" w:hAnsi="仿宋_GB2312" w:eastAsia="仿宋_GB2312" w:cs="仿宋_GB2312"/>
          <w:b w:val="0"/>
          <w:bCs w:val="0"/>
          <w:sz w:val="32"/>
          <w:szCs w:val="32"/>
        </w:rPr>
        <w:t>绩效自评报告</w:t>
      </w:r>
      <w:r>
        <w:rPr>
          <w:rFonts w:hint="eastAsia" w:ascii="仿宋_GB2312" w:hAnsi="仿宋_GB2312" w:eastAsia="仿宋_GB2312" w:cs="仿宋_GB2312"/>
          <w:b w:val="0"/>
          <w:bCs w:val="0"/>
          <w:sz w:val="32"/>
          <w:szCs w:val="32"/>
          <w:lang w:eastAsia="zh-CN"/>
        </w:rPr>
        <w:t>，并按照《2022年州级专项预算项目支出绩效评价指标体系》进行自查评分，报送馆务会审查，将审查结果报送</w:t>
      </w:r>
      <w:r>
        <w:rPr>
          <w:rFonts w:hint="eastAsia" w:ascii="仿宋_GB2312" w:hAnsi="仿宋_GB2312" w:eastAsia="仿宋_GB2312" w:cs="仿宋_GB2312"/>
          <w:b w:val="0"/>
          <w:bCs w:val="0"/>
          <w:sz w:val="32"/>
          <w:szCs w:val="32"/>
        </w:rPr>
        <w:t>州纪委监委派驻州委办公室纪检监察组</w:t>
      </w:r>
      <w:r>
        <w:rPr>
          <w:rFonts w:hint="eastAsia" w:ascii="仿宋_GB2312" w:hAnsi="仿宋_GB2312" w:eastAsia="仿宋_GB2312" w:cs="仿宋_GB2312"/>
          <w:b w:val="0"/>
          <w:bCs w:val="0"/>
          <w:sz w:val="32"/>
          <w:szCs w:val="32"/>
          <w:lang w:eastAsia="zh-CN"/>
        </w:rPr>
        <w:t>组备案。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二、项目资金申报及使用情况</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（一）项目资金申报及批复情况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项目资金</w:t>
      </w:r>
      <w:r>
        <w:rPr>
          <w:rFonts w:hint="eastAsia" w:ascii="仿宋_GB2312" w:hAnsi="仿宋_GB2312" w:eastAsia="仿宋_GB2312" w:cs="仿宋_GB2312"/>
          <w:b w:val="0"/>
          <w:bCs w:val="0"/>
          <w:sz w:val="32"/>
          <w:szCs w:val="32"/>
          <w:lang w:eastAsia="zh-CN"/>
        </w:rPr>
        <w:t>申报为</w:t>
      </w:r>
      <w:r>
        <w:rPr>
          <w:rFonts w:hint="eastAsia" w:ascii="仿宋_GB2312" w:hAnsi="仿宋_GB2312" w:eastAsia="仿宋_GB2312" w:cs="仿宋_GB2312"/>
          <w:b w:val="0"/>
          <w:bCs w:val="0"/>
          <w:sz w:val="32"/>
          <w:szCs w:val="32"/>
          <w:lang w:val="en-US" w:eastAsia="zh-CN"/>
        </w:rPr>
        <w:t>19.93万元，州政府批复后资金为19万元。</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（二）资金计划、到位及使用情况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资金计划为</w:t>
      </w:r>
      <w:r>
        <w:rPr>
          <w:rFonts w:hint="eastAsia" w:ascii="仿宋_GB2312" w:hAnsi="仿宋_GB2312" w:eastAsia="仿宋_GB2312" w:cs="仿宋_GB2312"/>
          <w:b w:val="0"/>
          <w:bCs w:val="0"/>
          <w:sz w:val="32"/>
          <w:szCs w:val="32"/>
          <w:lang w:val="en-US" w:eastAsia="zh-CN"/>
        </w:rPr>
        <w:t>19.93</w:t>
      </w:r>
      <w:r>
        <w:rPr>
          <w:rFonts w:hint="eastAsia" w:ascii="仿宋_GB2312" w:hAnsi="仿宋_GB2312" w:eastAsia="仿宋_GB2312" w:cs="仿宋_GB2312"/>
          <w:b w:val="0"/>
          <w:bCs w:val="0"/>
          <w:sz w:val="32"/>
          <w:szCs w:val="32"/>
        </w:rPr>
        <w:t>万元，实际到位资金为</w:t>
      </w:r>
      <w:r>
        <w:rPr>
          <w:rFonts w:hint="eastAsia" w:ascii="仿宋_GB2312" w:hAnsi="仿宋_GB2312" w:eastAsia="仿宋_GB2312" w:cs="仿宋_GB2312"/>
          <w:b w:val="0"/>
          <w:bCs w:val="0"/>
          <w:sz w:val="32"/>
          <w:szCs w:val="32"/>
          <w:lang w:val="en-US" w:eastAsia="zh-CN"/>
        </w:rPr>
        <w:t>19</w:t>
      </w:r>
      <w:r>
        <w:rPr>
          <w:rFonts w:hint="eastAsia" w:ascii="仿宋_GB2312" w:hAnsi="仿宋_GB2312" w:eastAsia="仿宋_GB2312" w:cs="仿宋_GB2312"/>
          <w:b w:val="0"/>
          <w:bCs w:val="0"/>
          <w:sz w:val="32"/>
          <w:szCs w:val="32"/>
        </w:rPr>
        <w:t>万元。</w:t>
      </w:r>
      <w:r>
        <w:rPr>
          <w:rFonts w:hint="eastAsia" w:ascii="仿宋_GB2312" w:hAnsi="仿宋_GB2312" w:eastAsia="仿宋_GB2312" w:cs="仿宋_GB2312"/>
          <w:b w:val="0"/>
          <w:bCs w:val="0"/>
          <w:sz w:val="32"/>
          <w:szCs w:val="32"/>
          <w:lang w:eastAsia="zh-CN"/>
        </w:rPr>
        <w:t>使用情况为广告物料设计及制作</w:t>
      </w:r>
      <w:r>
        <w:rPr>
          <w:rFonts w:hint="eastAsia" w:ascii="仿宋_GB2312" w:hAnsi="仿宋_GB2312" w:eastAsia="仿宋_GB2312" w:cs="仿宋_GB2312"/>
          <w:b w:val="0"/>
          <w:bCs w:val="0"/>
          <w:sz w:val="32"/>
          <w:szCs w:val="32"/>
          <w:lang w:val="en-US" w:eastAsia="zh-CN"/>
        </w:rPr>
        <w:t>5.55万元，绿化  万元，设备购置费用  万元，共计费用19万元</w:t>
      </w:r>
      <w:r>
        <w:rPr>
          <w:rFonts w:hint="eastAsia" w:ascii="仿宋_GB2312" w:hAnsi="仿宋_GB2312" w:eastAsia="仿宋_GB2312" w:cs="仿宋_GB2312"/>
          <w:b w:val="0"/>
          <w:bCs w:val="0"/>
          <w:sz w:val="32"/>
          <w:szCs w:val="32"/>
        </w:rPr>
        <w:t>。</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（三）项目财务管理情况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我馆制定并完善了财务管理制度并严格执行，账务处理比较及时，会计核算比较规范。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三、项目实施及管理情况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项目由信息技术科</w:t>
      </w:r>
      <w:r>
        <w:rPr>
          <w:rFonts w:hint="eastAsia" w:ascii="仿宋_GB2312" w:hAnsi="仿宋_GB2312" w:eastAsia="仿宋_GB2312" w:cs="仿宋_GB2312"/>
          <w:b w:val="0"/>
          <w:bCs w:val="0"/>
          <w:sz w:val="32"/>
          <w:szCs w:val="32"/>
          <w:lang w:eastAsia="zh-CN"/>
        </w:rPr>
        <w:t>、接收征集科、安全保卫科等科室</w:t>
      </w:r>
      <w:r>
        <w:rPr>
          <w:rFonts w:hint="eastAsia" w:ascii="仿宋_GB2312" w:hAnsi="仿宋_GB2312" w:eastAsia="仿宋_GB2312" w:cs="仿宋_GB2312"/>
          <w:b w:val="0"/>
          <w:bCs w:val="0"/>
          <w:sz w:val="32"/>
          <w:szCs w:val="32"/>
        </w:rPr>
        <w:t>负责实施，通过成立项目磋商小组，采用竞争性磋商方式</w:t>
      </w:r>
      <w:r>
        <w:rPr>
          <w:rFonts w:hint="eastAsia" w:ascii="仿宋_GB2312" w:hAnsi="仿宋_GB2312" w:eastAsia="仿宋_GB2312" w:cs="仿宋_GB2312"/>
          <w:b w:val="0"/>
          <w:bCs w:val="0"/>
          <w:sz w:val="32"/>
          <w:szCs w:val="32"/>
          <w:lang w:eastAsia="zh-CN"/>
        </w:rPr>
        <w:t>开展</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内控程序，集体决策，并通过单位相关科室密切配合进行实施和管理。</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（一）项目组织架构及实施流程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项目的组织实施由信息技术科</w:t>
      </w:r>
      <w:r>
        <w:rPr>
          <w:rFonts w:hint="eastAsia" w:ascii="仿宋_GB2312" w:hAnsi="仿宋_GB2312" w:eastAsia="仿宋_GB2312" w:cs="仿宋_GB2312"/>
          <w:b w:val="0"/>
          <w:bCs w:val="0"/>
          <w:sz w:val="32"/>
          <w:szCs w:val="32"/>
          <w:lang w:eastAsia="zh-CN"/>
        </w:rPr>
        <w:t>、接收征集科、安全保卫科按照职责分工</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分别</w:t>
      </w:r>
      <w:r>
        <w:rPr>
          <w:rFonts w:hint="eastAsia" w:ascii="仿宋_GB2312" w:hAnsi="仿宋_GB2312" w:eastAsia="仿宋_GB2312" w:cs="仿宋_GB2312"/>
          <w:b w:val="0"/>
          <w:bCs w:val="0"/>
          <w:sz w:val="32"/>
          <w:szCs w:val="32"/>
        </w:rPr>
        <w:t>成立了竞争性磋商领导小组，并及时填报“三重一大”备案表，在实施内控程序的各个环节，做好对馆务会的报告和州纪检组的报告，经馆务会和纪检组通过后，在阿坝州档案馆官网上发布公告，通过综合评分的方式确定供应商。</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（二）项目管理情况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项目实施流程规范，在实施过程中，严格按照财经纪律进行，对财务制度不清楚，不了解的地方随时咨询州纪委监委派驻州委办公室纪检监察组和州财政局相关科室，同时，在阿坝州档案馆官网上进行了公示，做到公开、透明，资金使用合理，安全，</w:t>
      </w:r>
      <w:r>
        <w:rPr>
          <w:rFonts w:hint="eastAsia" w:ascii="仿宋_GB2312" w:hAnsi="仿宋_GB2312" w:eastAsia="仿宋_GB2312" w:cs="仿宋_GB2312"/>
          <w:b w:val="0"/>
          <w:bCs w:val="0"/>
          <w:sz w:val="32"/>
          <w:szCs w:val="32"/>
          <w:lang w:eastAsia="zh-CN"/>
        </w:rPr>
        <w:t>为庆祝中国共产党</w:t>
      </w:r>
      <w:r>
        <w:rPr>
          <w:rFonts w:hint="eastAsia" w:ascii="仿宋_GB2312" w:hAnsi="仿宋_GB2312" w:eastAsia="仿宋_GB2312" w:cs="仿宋_GB2312"/>
          <w:b w:val="0"/>
          <w:bCs w:val="0"/>
          <w:sz w:val="32"/>
          <w:szCs w:val="32"/>
          <w:lang w:val="en-US" w:eastAsia="zh-CN"/>
        </w:rPr>
        <w:t>建党100周年献上了一份厚礼。</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（三）项目监管情况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项目的监管部门主要是州纪检组和州财政局，监管手段是首先是对项目填报重大事项决策报备表，在召开涉及重大决策的会议前，我馆提前3个工作日向州纪委监委派驻州委办公室纪检监察组提交相关文件、法律法规和政策依据等相关资料；相关会议召开后及时将该次会议纪要及相关资料报送州纪委监委派驻州委办公室第一纪检监察组备案。州财政局的监管是在项目前期资金拨付时需确定采购的方式和程序，在项目款支付过程中做好合同的审核和各项材料的完整．该项目实施以来，</w:t>
      </w:r>
      <w:r>
        <w:rPr>
          <w:rFonts w:hint="eastAsia" w:ascii="仿宋_GB2312" w:hAnsi="仿宋_GB2312" w:eastAsia="仿宋_GB2312" w:cs="仿宋_GB2312"/>
          <w:b w:val="0"/>
          <w:bCs w:val="0"/>
          <w:sz w:val="32"/>
          <w:szCs w:val="32"/>
          <w:lang w:eastAsia="zh-CN"/>
        </w:rPr>
        <w:t>展览效果</w:t>
      </w:r>
      <w:r>
        <w:rPr>
          <w:rFonts w:hint="eastAsia" w:ascii="仿宋_GB2312" w:hAnsi="仿宋_GB2312" w:eastAsia="仿宋_GB2312" w:cs="仿宋_GB2312"/>
          <w:b w:val="0"/>
          <w:bCs w:val="0"/>
          <w:sz w:val="32"/>
          <w:szCs w:val="32"/>
        </w:rPr>
        <w:t>明显</w:t>
      </w:r>
      <w:r>
        <w:rPr>
          <w:rFonts w:hint="eastAsia" w:ascii="仿宋_GB2312" w:hAnsi="仿宋_GB2312" w:eastAsia="仿宋_GB2312" w:cs="仿宋_GB2312"/>
          <w:b w:val="0"/>
          <w:bCs w:val="0"/>
          <w:sz w:val="32"/>
          <w:szCs w:val="32"/>
          <w:lang w:eastAsia="zh-CN"/>
        </w:rPr>
        <w:t>，社会影响突出</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四、项目绩效情况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我馆</w:t>
      </w:r>
      <w:r>
        <w:rPr>
          <w:rFonts w:hint="eastAsia" w:ascii="仿宋_GB2312" w:hAnsi="仿宋_GB2312" w:eastAsia="仿宋_GB2312" w:cs="仿宋_GB2312"/>
          <w:b w:val="0"/>
          <w:bCs w:val="0"/>
          <w:sz w:val="32"/>
          <w:szCs w:val="32"/>
        </w:rPr>
        <w:t>立足馆藏资源，充实档案展览《阿坝</w:t>
      </w:r>
      <w:r>
        <w:rPr>
          <w:rFonts w:hint="eastAsia" w:ascii="仿宋_GB2312" w:hAnsi="仿宋_GB2312" w:eastAsia="仿宋_GB2312" w:cs="仿宋_GB2312"/>
          <w:b w:val="0"/>
          <w:bCs w:val="0"/>
          <w:sz w:val="32"/>
          <w:szCs w:val="32"/>
          <w:lang w:eastAsia="zh-CN"/>
        </w:rPr>
        <w:t>记忆</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庆祝中国共产党成立</w:t>
      </w:r>
      <w:r>
        <w:rPr>
          <w:rFonts w:hint="eastAsia" w:ascii="仿宋_GB2312" w:hAnsi="仿宋_GB2312" w:eastAsia="仿宋_GB2312" w:cs="仿宋_GB2312"/>
          <w:b w:val="0"/>
          <w:bCs w:val="0"/>
          <w:sz w:val="32"/>
          <w:szCs w:val="32"/>
          <w:lang w:val="en-US" w:eastAsia="zh-CN"/>
        </w:rPr>
        <w:t>100周年档案史料展</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内容，</w:t>
      </w:r>
      <w:r>
        <w:rPr>
          <w:rFonts w:hint="eastAsia" w:ascii="仿宋_GB2312" w:hAnsi="仿宋_GB2312" w:eastAsia="仿宋_GB2312" w:cs="仿宋_GB2312"/>
          <w:b w:val="0"/>
          <w:bCs w:val="0"/>
          <w:sz w:val="32"/>
          <w:szCs w:val="32"/>
        </w:rPr>
        <w:t>让尘封的“历史”转化为鲜活的实例，达到了“以史为鉴，以史育人”的目的。</w:t>
      </w:r>
      <w:r>
        <w:rPr>
          <w:rFonts w:hint="eastAsia" w:ascii="仿宋_GB2312" w:hAnsi="仿宋_GB2312" w:eastAsia="仿宋_GB2312" w:cs="仿宋_GB2312"/>
          <w:b w:val="0"/>
          <w:bCs w:val="0"/>
          <w:sz w:val="32"/>
          <w:szCs w:val="32"/>
          <w:lang w:eastAsia="zh-CN"/>
        </w:rPr>
        <w:t>目前，已经接待机关、团体、社会群众等参观者近</w:t>
      </w:r>
      <w:r>
        <w:rPr>
          <w:rFonts w:hint="eastAsia" w:ascii="仿宋_GB2312" w:hAnsi="仿宋_GB2312" w:eastAsia="仿宋_GB2312" w:cs="仿宋_GB2312"/>
          <w:b w:val="0"/>
          <w:bCs w:val="0"/>
          <w:sz w:val="32"/>
          <w:szCs w:val="32"/>
          <w:lang w:val="en-US" w:eastAsia="zh-CN"/>
        </w:rPr>
        <w:t>2000人次。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五、评价结论及建议</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（一）评价结论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自查评分为</w:t>
      </w:r>
      <w:r>
        <w:rPr>
          <w:rFonts w:hint="eastAsia" w:ascii="仿宋_GB2312" w:hAnsi="仿宋_GB2312" w:eastAsia="仿宋_GB2312" w:cs="仿宋_GB2312"/>
          <w:b w:val="0"/>
          <w:bCs w:val="0"/>
          <w:sz w:val="32"/>
          <w:szCs w:val="32"/>
          <w:lang w:val="en-US" w:eastAsia="zh-CN"/>
        </w:rPr>
        <w:t>95分，</w:t>
      </w:r>
      <w:r>
        <w:rPr>
          <w:rFonts w:hint="eastAsia" w:ascii="仿宋_GB2312" w:hAnsi="仿宋_GB2312" w:eastAsia="仿宋_GB2312" w:cs="仿宋_GB2312"/>
          <w:b w:val="0"/>
          <w:bCs w:val="0"/>
          <w:sz w:val="32"/>
          <w:szCs w:val="32"/>
        </w:rPr>
        <w:t>项目实施进度理想，</w:t>
      </w:r>
      <w:r>
        <w:rPr>
          <w:rFonts w:hint="eastAsia" w:ascii="仿宋_GB2312" w:hAnsi="仿宋_GB2312" w:eastAsia="仿宋_GB2312" w:cs="仿宋_GB2312"/>
          <w:b w:val="0"/>
          <w:bCs w:val="0"/>
          <w:sz w:val="32"/>
          <w:szCs w:val="32"/>
          <w:lang w:eastAsia="zh-CN"/>
        </w:rPr>
        <w:t>我馆</w:t>
      </w:r>
      <w:r>
        <w:rPr>
          <w:rFonts w:hint="eastAsia" w:ascii="仿宋_GB2312" w:hAnsi="仿宋_GB2312" w:eastAsia="仿宋_GB2312" w:cs="仿宋_GB2312"/>
          <w:b w:val="0"/>
          <w:bCs w:val="0"/>
          <w:sz w:val="32"/>
          <w:szCs w:val="32"/>
          <w:lang w:val="en-US" w:eastAsia="zh-CN"/>
        </w:rPr>
        <w:t>立足</w:t>
      </w:r>
      <w:r>
        <w:rPr>
          <w:rFonts w:hint="eastAsia" w:ascii="仿宋_GB2312" w:hAnsi="仿宋_GB2312" w:eastAsia="仿宋_GB2312" w:cs="仿宋_GB2312"/>
          <w:b w:val="0"/>
          <w:bCs w:val="0"/>
          <w:sz w:val="32"/>
          <w:szCs w:val="32"/>
        </w:rPr>
        <w:t>州级爱国主义教育基地平台</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利用“让档案说话”的资源优势，</w:t>
      </w:r>
      <w:r>
        <w:rPr>
          <w:rFonts w:hint="eastAsia" w:ascii="仿宋_GB2312" w:hAnsi="仿宋_GB2312" w:eastAsia="仿宋_GB2312" w:cs="仿宋_GB2312"/>
          <w:b w:val="0"/>
          <w:bCs w:val="0"/>
          <w:sz w:val="32"/>
          <w:szCs w:val="32"/>
          <w:lang w:eastAsia="zh-CN"/>
        </w:rPr>
        <w:t>精挑细选</w:t>
      </w:r>
      <w:r>
        <w:rPr>
          <w:rFonts w:hint="eastAsia" w:ascii="仿宋_GB2312" w:hAnsi="仿宋_GB2312" w:eastAsia="仿宋_GB2312" w:cs="仿宋_GB2312"/>
          <w:b w:val="0"/>
          <w:bCs w:val="0"/>
          <w:sz w:val="32"/>
          <w:szCs w:val="32"/>
        </w:rPr>
        <w:t>每一份</w:t>
      </w:r>
      <w:r>
        <w:rPr>
          <w:rFonts w:hint="eastAsia" w:ascii="仿宋_GB2312" w:hAnsi="仿宋_GB2312" w:eastAsia="仿宋_GB2312" w:cs="仿宋_GB2312"/>
          <w:b w:val="0"/>
          <w:bCs w:val="0"/>
          <w:sz w:val="32"/>
          <w:szCs w:val="32"/>
          <w:lang w:eastAsia="zh-CN"/>
        </w:rPr>
        <w:t>饱含</w:t>
      </w:r>
      <w:r>
        <w:rPr>
          <w:rFonts w:hint="eastAsia" w:ascii="仿宋_GB2312" w:hAnsi="仿宋_GB2312" w:eastAsia="仿宋_GB2312" w:cs="仿宋_GB2312"/>
          <w:b w:val="0"/>
          <w:bCs w:val="0"/>
          <w:sz w:val="32"/>
          <w:szCs w:val="32"/>
        </w:rPr>
        <w:t>历史记忆</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文化印迹</w:t>
      </w:r>
      <w:r>
        <w:rPr>
          <w:rFonts w:hint="eastAsia" w:ascii="仿宋_GB2312" w:hAnsi="仿宋_GB2312" w:eastAsia="仿宋_GB2312" w:cs="仿宋_GB2312"/>
          <w:b w:val="0"/>
          <w:bCs w:val="0"/>
          <w:sz w:val="32"/>
          <w:szCs w:val="32"/>
          <w:lang w:eastAsia="zh-CN"/>
        </w:rPr>
        <w:t>和</w:t>
      </w:r>
      <w:r>
        <w:rPr>
          <w:rFonts w:hint="eastAsia" w:ascii="仿宋_GB2312" w:hAnsi="仿宋_GB2312" w:eastAsia="仿宋_GB2312" w:cs="仿宋_GB2312"/>
          <w:b w:val="0"/>
          <w:bCs w:val="0"/>
          <w:sz w:val="32"/>
          <w:szCs w:val="32"/>
        </w:rPr>
        <w:t>阿坝故事</w:t>
      </w:r>
      <w:r>
        <w:rPr>
          <w:rFonts w:hint="eastAsia" w:ascii="仿宋_GB2312" w:hAnsi="仿宋_GB2312" w:eastAsia="仿宋_GB2312" w:cs="仿宋_GB2312"/>
          <w:b w:val="0"/>
          <w:bCs w:val="0"/>
          <w:sz w:val="32"/>
          <w:szCs w:val="32"/>
          <w:lang w:eastAsia="zh-CN"/>
        </w:rPr>
        <w:t>的档案、资料、实物、图片，让参观者</w:t>
      </w:r>
      <w:r>
        <w:rPr>
          <w:rFonts w:hint="eastAsia" w:ascii="仿宋_GB2312" w:hAnsi="仿宋_GB2312" w:eastAsia="仿宋_GB2312" w:cs="仿宋_GB2312"/>
          <w:b w:val="0"/>
          <w:bCs w:val="0"/>
          <w:sz w:val="32"/>
          <w:szCs w:val="32"/>
        </w:rPr>
        <w:t>寻找出阿坝政治、经济、文化、生活的源头和现实问题的答案，</w:t>
      </w:r>
      <w:r>
        <w:rPr>
          <w:rFonts w:hint="eastAsia" w:ascii="仿宋_GB2312" w:hAnsi="仿宋_GB2312" w:eastAsia="仿宋_GB2312" w:cs="仿宋_GB2312"/>
          <w:b w:val="0"/>
          <w:bCs w:val="0"/>
          <w:sz w:val="32"/>
          <w:szCs w:val="32"/>
          <w:lang w:eastAsia="zh-CN"/>
        </w:rPr>
        <w:t>让人充分感悟时代的变迁、爱国的力量。展览社会反响强烈，社会效益明显。</w:t>
      </w:r>
      <w:r>
        <w:rPr>
          <w:rFonts w:hint="eastAsia" w:ascii="仿宋_GB2312" w:hAnsi="仿宋_GB2312" w:eastAsia="仿宋_GB2312" w:cs="仿宋_GB2312"/>
          <w:b w:val="0"/>
          <w:bCs w:val="0"/>
          <w:sz w:val="32"/>
          <w:szCs w:val="32"/>
        </w:rPr>
        <w:t>在阿坝大地掀起了了解历史、感悟沧桑、展望未来的高潮，扩大了档案的社会影响</w:t>
      </w:r>
      <w:r>
        <w:rPr>
          <w:rFonts w:hint="eastAsia" w:ascii="仿宋_GB2312" w:hAnsi="仿宋_GB2312" w:eastAsia="仿宋_GB2312" w:cs="仿宋_GB2312"/>
          <w:b w:val="0"/>
          <w:bCs w:val="0"/>
          <w:sz w:val="32"/>
          <w:szCs w:val="32"/>
          <w:lang w:eastAsia="zh-CN"/>
        </w:rPr>
        <w:t>力</w:t>
      </w:r>
      <w:r>
        <w:rPr>
          <w:rFonts w:hint="eastAsia" w:ascii="仿宋_GB2312" w:hAnsi="仿宋_GB2312" w:eastAsia="仿宋_GB2312" w:cs="仿宋_GB2312"/>
          <w:b w:val="0"/>
          <w:bCs w:val="0"/>
          <w:sz w:val="32"/>
          <w:szCs w:val="32"/>
        </w:rPr>
        <w:t>。</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（二）存在的问题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需要培养更多的展览解说人员，让更多的人了解档案、感悟历史</w:t>
      </w:r>
      <w:r>
        <w:rPr>
          <w:rFonts w:hint="eastAsia" w:ascii="仿宋_GB2312" w:hAnsi="仿宋_GB2312" w:eastAsia="仿宋_GB2312" w:cs="仿宋_GB2312"/>
          <w:b w:val="0"/>
          <w:bCs w:val="0"/>
          <w:sz w:val="32"/>
          <w:szCs w:val="32"/>
        </w:rPr>
        <w:t>。</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（三）相关建议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无</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spacing w:line="600" w:lineRule="exact"/>
        <w:rPr>
          <w:rFonts w:hint="eastAsia" w:eastAsia="黑体"/>
          <w:lang w:eastAsia="zh-CN"/>
        </w:rPr>
      </w:pPr>
      <w:r>
        <w:rPr>
          <w:rFonts w:hint="eastAsia" w:ascii="黑体" w:eastAsia="黑体"/>
        </w:rPr>
        <w:t>附件</w:t>
      </w:r>
    </w:p>
    <w:p>
      <w:pPr>
        <w:snapToGrid w:val="0"/>
        <w:spacing w:line="600" w:lineRule="exact"/>
        <w:jc w:val="center"/>
        <w:rPr>
          <w:rFonts w:hint="eastAsia" w:ascii="方正小标宋简体" w:hAnsi="Times New Roman" w:eastAsia="方正小标宋简体" w:cs="Times New Roman"/>
          <w:color w:val="auto"/>
          <w:kern w:val="0"/>
          <w:sz w:val="40"/>
          <w:szCs w:val="44"/>
          <w:lang w:val="en-US" w:eastAsia="zh-CN" w:bidi="ar-SA"/>
        </w:rPr>
      </w:pPr>
      <w:r>
        <w:rPr>
          <w:rFonts w:hint="eastAsia" w:ascii="方正小标宋简体" w:hAnsi="Times New Roman" w:eastAsia="方正小标宋简体" w:cs="Times New Roman"/>
          <w:color w:val="auto"/>
          <w:kern w:val="0"/>
          <w:sz w:val="40"/>
          <w:szCs w:val="44"/>
          <w:lang w:val="en-US" w:eastAsia="zh-CN" w:bidi="ar-SA"/>
        </w:rPr>
        <w:t>州档案馆</w:t>
      </w:r>
    </w:p>
    <w:p>
      <w:pPr>
        <w:snapToGrid w:val="0"/>
        <w:spacing w:line="600" w:lineRule="exact"/>
        <w:jc w:val="center"/>
        <w:rPr>
          <w:rFonts w:hint="eastAsia" w:ascii="方正小标宋简体" w:hAnsi="Times New Roman" w:eastAsia="方正小标宋简体" w:cs="Times New Roman"/>
          <w:color w:val="auto"/>
          <w:kern w:val="0"/>
          <w:sz w:val="40"/>
          <w:szCs w:val="44"/>
          <w:lang w:val="en-US" w:eastAsia="zh-CN" w:bidi="ar-SA"/>
        </w:rPr>
      </w:pPr>
      <w:r>
        <w:rPr>
          <w:rFonts w:hint="eastAsia" w:ascii="方正小标宋简体" w:hAnsi="Times New Roman" w:eastAsia="方正小标宋简体" w:cs="Times New Roman"/>
          <w:color w:val="auto"/>
          <w:kern w:val="0"/>
          <w:sz w:val="40"/>
          <w:szCs w:val="44"/>
          <w:lang w:val="en-US" w:eastAsia="zh-CN" w:bidi="ar-SA"/>
        </w:rPr>
        <w:t xml:space="preserve"> 档案查阅项目支出绩效自评报告</w:t>
      </w:r>
    </w:p>
    <w:p>
      <w:pPr>
        <w:pStyle w:val="17"/>
        <w:spacing w:line="600" w:lineRule="exact"/>
        <w:ind w:firstLine="640"/>
        <w:jc w:val="center"/>
        <w:rPr>
          <w:rFonts w:hint="eastAsia" w:ascii="宋体"/>
          <w:color w:val="auto"/>
          <w:kern w:val="2"/>
          <w:sz w:val="32"/>
          <w:szCs w:val="32"/>
        </w:rPr>
      </w:pPr>
    </w:p>
    <w:p>
      <w:pPr>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（一）项目基本情况。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val="zh-CN" w:eastAsia="zh-CN"/>
        </w:rPr>
      </w:pPr>
      <w:r>
        <w:rPr>
          <w:rFonts w:hint="eastAsia" w:ascii="仿宋_GB2312" w:hAnsi="仿宋_GB2312" w:eastAsia="仿宋_GB2312" w:cs="仿宋_GB2312"/>
          <w:b w:val="0"/>
          <w:bCs w:val="0"/>
          <w:sz w:val="32"/>
          <w:szCs w:val="32"/>
          <w:lang w:eastAsia="zh-CN"/>
        </w:rPr>
        <w:t>根据2013年8月1日起实施的国家档案局《关于严格执行财政部、发展改革委关于取消利用档案收费规定的通知》（档发【2013】3号文）要求，“各级档案部门将停止所有利用档案的收费，不得以任何理由拖延或者拒绝执行，不得以其他名目变相继续收费”、“上述行政事业性收费取消和免征后，有关部门和单位依法履行管理职能所需相关经费，由同级财政预算予以保障。其中，行政机关和财政补助事业单位的经费支出，通过部门预算予以安排。各级财政部门要按照上述要求，妥善安排有关部门和单位预算，确保其工作正常开展”，为此，我馆设立档案查阅利用专项经费5万元，确保查阅利用档案办公耗材经费支出。</w:t>
      </w:r>
    </w:p>
    <w:p>
      <w:pPr>
        <w:widowControl/>
        <w:wordWrap w:val="0"/>
        <w:spacing w:line="578" w:lineRule="atLeast"/>
        <w:ind w:firstLine="640" w:firstLineChars="200"/>
        <w:jc w:val="left"/>
        <w:rPr>
          <w:rFonts w:ascii="黑体" w:eastAsia="黑体" w:cs="黑体"/>
          <w:color w:val="000000"/>
          <w:sz w:val="32"/>
          <w:szCs w:val="32"/>
        </w:rPr>
      </w:pPr>
      <w:r>
        <w:rPr>
          <w:rFonts w:hint="eastAsia" w:ascii="黑体" w:eastAsia="黑体" w:cs="黑体"/>
          <w:color w:val="000000"/>
          <w:kern w:val="0"/>
          <w:sz w:val="32"/>
          <w:szCs w:val="32"/>
          <w:shd w:val="clear" w:color="auto" w:fill="FFFFFF"/>
        </w:rPr>
        <w:t>二、项目实施及管理情况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1、项目资金到位情况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 本项目每年5万元全部为州财政拨款，到位及时。</w:t>
      </w:r>
    </w:p>
    <w:p>
      <w:pPr>
        <w:pStyle w:val="16"/>
        <w:widowControl/>
        <w:shd w:val="clear" w:color="auto" w:fill="FFFFFF"/>
        <w:spacing w:beforeAutospacing="0" w:afterAutospacing="0" w:line="585" w:lineRule="atLeast"/>
        <w:ind w:firstLine="642" w:firstLineChars="200"/>
        <w:jc w:val="both"/>
        <w:rPr>
          <w:rFonts w:ascii="仿宋_GB2312" w:eastAsia="仿宋_GB2312" w:cs="仿宋_GB2312"/>
          <w:b/>
          <w:bCs/>
          <w:color w:val="000000"/>
          <w:sz w:val="32"/>
          <w:szCs w:val="32"/>
          <w:shd w:val="clear" w:color="auto" w:fill="FFFFFF"/>
        </w:rPr>
      </w:pPr>
      <w:r>
        <w:rPr>
          <w:rFonts w:hint="eastAsia" w:ascii="仿宋_GB2312" w:eastAsia="仿宋_GB2312" w:cs="仿宋_GB2312"/>
          <w:b/>
          <w:bCs/>
          <w:color w:val="000000"/>
          <w:sz w:val="32"/>
          <w:szCs w:val="32"/>
          <w:shd w:val="clear" w:color="auto" w:fill="FFFFFF"/>
        </w:rPr>
        <w:t>2、项目资金使用情况</w:t>
      </w:r>
    </w:p>
    <w:p>
      <w:pPr>
        <w:pStyle w:val="16"/>
        <w:widowControl/>
        <w:shd w:val="clear" w:color="auto" w:fill="FFFFFF"/>
        <w:spacing w:beforeAutospacing="0" w:afterAutospacing="0" w:line="585" w:lineRule="atLeast"/>
        <w:ind w:firstLine="640" w:firstLineChars="200"/>
        <w:jc w:val="both"/>
        <w:rPr>
          <w:rFonts w:hint="eastAsia" w:ascii="仿宋_GB2312" w:eastAsia="仿宋_GB2312" w:cs="仿宋_GB2312"/>
          <w:b w:val="0"/>
          <w:bCs w:val="0"/>
          <w:color w:val="000000"/>
          <w:sz w:val="32"/>
          <w:szCs w:val="32"/>
          <w:shd w:val="clear" w:color="auto" w:fill="FFFFFF"/>
        </w:rPr>
      </w:pPr>
      <w:r>
        <w:rPr>
          <w:rFonts w:hint="eastAsia" w:ascii="仿宋_GB2312" w:eastAsia="仿宋_GB2312" w:cs="仿宋_GB2312"/>
          <w:b w:val="0"/>
          <w:bCs w:val="0"/>
          <w:color w:val="000000"/>
          <w:sz w:val="32"/>
          <w:szCs w:val="32"/>
          <w:shd w:val="clear" w:color="auto" w:fill="FFFFFF"/>
        </w:rPr>
        <w:t>档案查阅利用项目按计划使用资金5万元，无结余。</w:t>
      </w:r>
    </w:p>
    <w:p>
      <w:pPr>
        <w:pStyle w:val="16"/>
        <w:widowControl/>
        <w:shd w:val="clear" w:color="auto" w:fill="FFFFFF"/>
        <w:spacing w:beforeAutospacing="0" w:afterAutospacing="0" w:line="585" w:lineRule="atLeast"/>
        <w:ind w:firstLine="642" w:firstLineChars="200"/>
        <w:jc w:val="both"/>
        <w:rPr>
          <w:rFonts w:hint="eastAsia" w:ascii="仿宋_GB2312" w:eastAsia="仿宋_GB2312" w:cs="仿宋_GB2312"/>
          <w:b w:val="0"/>
          <w:bCs w:val="0"/>
          <w:color w:val="000000"/>
          <w:sz w:val="32"/>
          <w:szCs w:val="32"/>
          <w:shd w:val="clear" w:color="auto" w:fill="FFFFFF"/>
        </w:rPr>
      </w:pPr>
      <w:r>
        <w:rPr>
          <w:rFonts w:hint="eastAsia" w:ascii="仿宋_GB2312" w:eastAsia="仿宋_GB2312" w:cs="仿宋_GB2312"/>
          <w:b/>
          <w:bCs/>
          <w:color w:val="000000"/>
          <w:sz w:val="32"/>
          <w:szCs w:val="32"/>
          <w:shd w:val="clear" w:color="auto" w:fill="FFFFFF"/>
        </w:rPr>
        <w:t>3、项目资金管理情况</w:t>
      </w:r>
    </w:p>
    <w:p>
      <w:pPr>
        <w:widowControl/>
        <w:wordWrap w:val="0"/>
        <w:spacing w:line="578" w:lineRule="atLeast"/>
        <w:ind w:firstLine="640"/>
        <w:jc w:val="left"/>
        <w:rPr>
          <w:rFonts w:hint="eastAsia" w:ascii="仿宋_GB2312" w:hAnsi="Times New Roman" w:eastAsia="仿宋_GB2312" w:cs="仿宋_GB2312"/>
          <w:b w:val="0"/>
          <w:bCs w:val="0"/>
          <w:color w:val="000000"/>
          <w:kern w:val="0"/>
          <w:sz w:val="32"/>
          <w:szCs w:val="32"/>
          <w:shd w:val="clear" w:color="auto" w:fill="FFFFFF"/>
          <w:lang w:val="en-US" w:eastAsia="zh-CN" w:bidi="ar"/>
        </w:rPr>
      </w:pPr>
      <w:r>
        <w:rPr>
          <w:rFonts w:hint="eastAsia" w:ascii="仿宋_GB2312" w:hAnsi="Times New Roman" w:eastAsia="仿宋_GB2312" w:cs="仿宋_GB2312"/>
          <w:b w:val="0"/>
          <w:bCs w:val="0"/>
          <w:color w:val="000000"/>
          <w:kern w:val="0"/>
          <w:sz w:val="32"/>
          <w:szCs w:val="32"/>
          <w:shd w:val="clear" w:color="auto" w:fill="FFFFFF"/>
          <w:lang w:val="en-US" w:eastAsia="zh-CN" w:bidi="ar"/>
        </w:rPr>
        <w:t>档案查阅利用专项经费按照财政部门相关要求，严格管理，分管领导负总责，保管利用科负责对查阅情况进行如实登记，办公室负责监督，坚持勤俭节约原则，保障经费落到实处。</w:t>
      </w:r>
    </w:p>
    <w:p>
      <w:pPr>
        <w:widowControl/>
        <w:wordWrap w:val="0"/>
        <w:spacing w:line="578" w:lineRule="atLeast"/>
        <w:ind w:firstLine="640"/>
        <w:jc w:val="left"/>
        <w:rPr>
          <w:rFonts w:hint="eastAsia" w:ascii="仿宋_GB2312" w:hAnsi="Times New Roman" w:eastAsia="仿宋_GB2312" w:cs="仿宋_GB2312"/>
          <w:b/>
          <w:bCs/>
          <w:color w:val="000000"/>
          <w:kern w:val="0"/>
          <w:sz w:val="32"/>
          <w:szCs w:val="32"/>
          <w:shd w:val="clear" w:color="auto" w:fill="FFFFFF"/>
          <w:lang w:val="en-US" w:eastAsia="zh-CN" w:bidi="ar"/>
        </w:rPr>
      </w:pPr>
      <w:r>
        <w:rPr>
          <w:rFonts w:hint="eastAsia" w:ascii="仿宋_GB2312" w:hAnsi="Times New Roman" w:eastAsia="仿宋_GB2312" w:cs="仿宋_GB2312"/>
          <w:b/>
          <w:bCs/>
          <w:color w:val="000000"/>
          <w:kern w:val="0"/>
          <w:sz w:val="32"/>
          <w:szCs w:val="32"/>
          <w:shd w:val="clear" w:color="auto" w:fill="FFFFFF"/>
          <w:lang w:val="en-US" w:eastAsia="zh-CN" w:bidi="ar"/>
        </w:rPr>
        <w:t>4、项目管理情况</w:t>
      </w:r>
    </w:p>
    <w:p>
      <w:pPr>
        <w:widowControl/>
        <w:wordWrap w:val="0"/>
        <w:spacing w:line="578" w:lineRule="atLeast"/>
        <w:ind w:firstLine="640"/>
        <w:jc w:val="left"/>
        <w:rPr>
          <w:rFonts w:hint="eastAsia" w:ascii="仿宋_GB2312" w:hAnsi="Times New Roman" w:eastAsia="仿宋_GB2312" w:cs="仿宋_GB2312"/>
          <w:b w:val="0"/>
          <w:bCs w:val="0"/>
          <w:color w:val="000000"/>
          <w:kern w:val="0"/>
          <w:sz w:val="32"/>
          <w:szCs w:val="32"/>
          <w:shd w:val="clear" w:color="auto" w:fill="FFFFFF"/>
          <w:lang w:val="en-US" w:eastAsia="zh-CN" w:bidi="ar"/>
        </w:rPr>
      </w:pPr>
      <w:r>
        <w:rPr>
          <w:rFonts w:hint="eastAsia" w:ascii="仿宋_GB2312" w:hAnsi="Times New Roman" w:eastAsia="仿宋_GB2312" w:cs="仿宋_GB2312"/>
          <w:b w:val="0"/>
          <w:bCs w:val="0"/>
          <w:color w:val="000000"/>
          <w:kern w:val="0"/>
          <w:sz w:val="32"/>
          <w:szCs w:val="32"/>
          <w:shd w:val="clear" w:color="auto" w:fill="FFFFFF"/>
          <w:lang w:val="en-US" w:eastAsia="zh-CN" w:bidi="ar"/>
        </w:rPr>
        <w:t>根据国家和省市相关规定，对项目经费的使用制订了管理办法，不断加强财务管理内部控制制度，进一步完善经费管理规定；此项目开展由保管利用科组织实施，资金支出由办公室统筹办理，资金支出严格按照财务规定执行。</w:t>
      </w:r>
    </w:p>
    <w:p>
      <w:pPr>
        <w:widowControl/>
        <w:wordWrap w:val="0"/>
        <w:spacing w:line="578" w:lineRule="atLeast"/>
        <w:ind w:firstLine="640" w:firstLineChars="200"/>
        <w:jc w:val="left"/>
        <w:rPr>
          <w:rFonts w:ascii="黑体" w:eastAsia="黑体" w:cs="黑体"/>
          <w:color w:val="000000"/>
          <w:sz w:val="32"/>
          <w:szCs w:val="32"/>
        </w:rPr>
      </w:pPr>
      <w:r>
        <w:rPr>
          <w:rFonts w:hint="eastAsia" w:ascii="黑体" w:eastAsia="黑体" w:cs="黑体"/>
          <w:color w:val="000000"/>
          <w:kern w:val="0"/>
          <w:sz w:val="32"/>
          <w:szCs w:val="32"/>
          <w:shd w:val="clear" w:color="auto" w:fill="FFFFFF"/>
        </w:rPr>
        <w:t>三、项目绩效情况</w:t>
      </w:r>
    </w:p>
    <w:p>
      <w:pPr>
        <w:widowControl/>
        <w:wordWrap w:val="0"/>
        <w:spacing w:line="578" w:lineRule="atLeast"/>
        <w:ind w:firstLine="640"/>
        <w:jc w:val="left"/>
        <w:rPr>
          <w:rFonts w:hint="eastAsia" w:ascii="仿宋_GB2312" w:hAnsi="Times New Roman" w:eastAsia="仿宋_GB2312" w:cs="仿宋_GB2312"/>
          <w:b w:val="0"/>
          <w:bCs w:val="0"/>
          <w:color w:val="000000"/>
          <w:kern w:val="0"/>
          <w:sz w:val="32"/>
          <w:szCs w:val="32"/>
          <w:shd w:val="clear" w:color="auto" w:fill="FFFFFF"/>
          <w:lang w:val="en-US" w:eastAsia="zh-CN" w:bidi="ar"/>
        </w:rPr>
      </w:pPr>
      <w:r>
        <w:rPr>
          <w:rFonts w:hint="eastAsia" w:ascii="仿宋_GB2312" w:hAnsi="Times New Roman" w:eastAsia="仿宋_GB2312" w:cs="仿宋_GB2312"/>
          <w:b w:val="0"/>
          <w:bCs w:val="0"/>
          <w:color w:val="000000"/>
          <w:kern w:val="0"/>
          <w:sz w:val="32"/>
          <w:szCs w:val="32"/>
          <w:shd w:val="clear" w:color="auto" w:fill="FFFFFF"/>
          <w:lang w:val="en-US" w:eastAsia="zh-CN" w:bidi="ar"/>
        </w:rPr>
        <w:t>档案工作存史资政育人，是一项利国利民、惠及千秋万代的崇高事业。档案查阅利用专项经费的落实有效提升了档案利用服务能力，持续优化了档案利用环境，满足了人民群众日益提升的档案信息和档案文化需求。阿坝州取消档案利用收费之后，查阅利用人次卷次明显增加，专项经费保障了复印机墨粉、纸张等办公耗材采购。2021年，累计接待查档对象2158人/次，提供各类档案资料1856卷/件，其中，异地查档13人/次，提供档案502卷/件。</w:t>
      </w:r>
    </w:p>
    <w:p>
      <w:pPr>
        <w:widowControl/>
        <w:wordWrap w:val="0"/>
        <w:spacing w:line="578" w:lineRule="atLeast"/>
        <w:ind w:firstLine="640" w:firstLineChars="200"/>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四、评价结论和建议</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（一）评价结论</w:t>
      </w:r>
    </w:p>
    <w:p>
      <w:pPr>
        <w:pStyle w:val="16"/>
        <w:widowControl/>
        <w:shd w:val="clear" w:color="auto" w:fill="FFFFFF"/>
        <w:spacing w:beforeAutospacing="0" w:afterAutospacing="0" w:line="585" w:lineRule="atLeast"/>
        <w:ind w:firstLine="640" w:firstLineChars="200"/>
        <w:jc w:val="both"/>
        <w:rPr>
          <w:rFonts w:ascii="仿宋_GB2312" w:eastAsia="仿宋_GB2312" w:cs="仿宋_GB2312"/>
          <w:color w:val="000000"/>
          <w:sz w:val="32"/>
          <w:szCs w:val="32"/>
          <w:shd w:val="clear" w:color="auto" w:fill="FFFFFF"/>
        </w:rPr>
      </w:pPr>
      <w:r>
        <w:rPr>
          <w:rFonts w:hint="eastAsia" w:ascii="仿宋_GB2312" w:eastAsia="仿宋_GB2312" w:cs="仿宋_GB2312"/>
          <w:color w:val="000000"/>
          <w:sz w:val="32"/>
          <w:szCs w:val="32"/>
          <w:shd w:val="clear" w:color="auto" w:fill="FFFFFF"/>
        </w:rPr>
        <w:t>2021年度，我馆档案</w:t>
      </w:r>
      <w:r>
        <w:rPr>
          <w:rFonts w:ascii="仿宋_GB2312" w:eastAsia="仿宋_GB2312" w:cs="仿宋_GB2312"/>
          <w:color w:val="000000"/>
          <w:sz w:val="32"/>
          <w:szCs w:val="32"/>
          <w:shd w:val="clear" w:color="auto" w:fill="FFFFFF"/>
        </w:rPr>
        <w:t>保管利用</w:t>
      </w:r>
      <w:r>
        <w:rPr>
          <w:rFonts w:hint="eastAsia" w:ascii="仿宋_GB2312" w:eastAsia="仿宋_GB2312" w:cs="仿宋_GB2312"/>
          <w:color w:val="000000"/>
          <w:sz w:val="32"/>
          <w:szCs w:val="32"/>
          <w:shd w:val="clear" w:color="auto" w:fill="FFFFFF"/>
        </w:rPr>
        <w:t>项目决策过程、资金到位、资金管理、组织实施等方面落实情况较好，能按进度时序有效开展；数量指标、质量指标、时效指标、成本指标、社会效益指标、服务对象满意度指标均取得预期效果，确保了项目</w:t>
      </w:r>
      <w:r>
        <w:rPr>
          <w:rFonts w:ascii="仿宋_GB2312" w:eastAsia="仿宋_GB2312" w:cs="仿宋_GB2312"/>
          <w:color w:val="000000"/>
          <w:sz w:val="32"/>
          <w:szCs w:val="32"/>
          <w:shd w:val="clear" w:color="auto" w:fill="FFFFFF"/>
        </w:rPr>
        <w:t>高</w:t>
      </w:r>
      <w:r>
        <w:rPr>
          <w:rFonts w:hint="eastAsia" w:ascii="仿宋_GB2312" w:eastAsia="仿宋_GB2312" w:cs="仿宋_GB2312"/>
          <w:color w:val="000000"/>
          <w:sz w:val="32"/>
          <w:szCs w:val="32"/>
          <w:shd w:val="clear" w:color="auto" w:fill="FFFFFF"/>
        </w:rPr>
        <w:t>质量完成。自评分</w:t>
      </w:r>
      <w:r>
        <w:rPr>
          <w:rFonts w:ascii="仿宋_GB2312" w:eastAsia="仿宋_GB2312" w:cs="仿宋_GB2312"/>
          <w:color w:val="000000"/>
          <w:sz w:val="32"/>
          <w:szCs w:val="32"/>
          <w:shd w:val="clear" w:color="auto" w:fill="FFFFFF"/>
        </w:rPr>
        <w:t>100</w:t>
      </w:r>
      <w:r>
        <w:rPr>
          <w:rFonts w:hint="eastAsia" w:ascii="仿宋_GB2312" w:eastAsia="仿宋_GB2312" w:cs="仿宋_GB2312"/>
          <w:color w:val="000000"/>
          <w:sz w:val="32"/>
          <w:szCs w:val="32"/>
          <w:shd w:val="clear" w:color="auto" w:fill="FFFFFF"/>
        </w:rPr>
        <w:t>分。</w:t>
      </w:r>
    </w:p>
    <w:p>
      <w:pPr>
        <w:spacing w:line="600" w:lineRule="exact"/>
        <w:jc w:val="center"/>
        <w:rPr>
          <w:rFonts w:ascii="方正小标宋_GBK" w:eastAsia="方正小标宋_GBK"/>
          <w:sz w:val="44"/>
          <w:szCs w:val="44"/>
        </w:rPr>
      </w:pPr>
      <w:r>
        <w:rPr>
          <w:rFonts w:hint="eastAsia" w:ascii="方正小标宋_GBK" w:eastAsia="方正小标宋_GBK"/>
          <w:sz w:val="44"/>
          <w:szCs w:val="44"/>
        </w:rPr>
        <w:t>项目支出绩效自评表</w:t>
      </w:r>
    </w:p>
    <w:tbl>
      <w:tblPr>
        <w:tblStyle w:val="1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
        <w:gridCol w:w="1089"/>
        <w:gridCol w:w="588"/>
        <w:gridCol w:w="934"/>
        <w:gridCol w:w="125"/>
        <w:gridCol w:w="709"/>
        <w:gridCol w:w="1088"/>
        <w:gridCol w:w="471"/>
        <w:gridCol w:w="709"/>
        <w:gridCol w:w="1680"/>
        <w:gridCol w:w="792"/>
        <w:gridCol w:w="236"/>
        <w:gridCol w:w="269"/>
        <w:gridCol w:w="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5"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项目名称</w:t>
            </w:r>
          </w:p>
        </w:tc>
        <w:tc>
          <w:tcPr>
            <w:tcW w:w="8386" w:type="dxa"/>
            <w:gridSpan w:val="1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查阅利用经费</w:t>
            </w:r>
            <w:r>
              <w:rPr>
                <w:rFonts w:hint="eastAsia"/>
                <w:sz w:val="16"/>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5"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项目负责人</w:t>
            </w:r>
          </w:p>
        </w:tc>
        <w:tc>
          <w:tcPr>
            <w:tcW w:w="235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eastAsia="宋体"/>
                <w:sz w:val="16"/>
              </w:rPr>
            </w:pPr>
            <w:r>
              <w:rPr>
                <w:rFonts w:hint="eastAsia"/>
                <w:sz w:val="16"/>
              </w:rPr>
              <w:t>王勇</w:t>
            </w:r>
          </w:p>
        </w:tc>
        <w:tc>
          <w:tcPr>
            <w:tcW w:w="1088"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项目编号</w:t>
            </w:r>
            <w:r>
              <w:rPr>
                <w:sz w:val="16"/>
              </w:rPr>
              <w:t xml:space="preserve"> </w:t>
            </w:r>
          </w:p>
        </w:tc>
        <w:tc>
          <w:tcPr>
            <w:tcW w:w="4942" w:type="dxa"/>
            <w:gridSpan w:val="7"/>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5" w:type="dxa"/>
            <w:gridSpan w:val="2"/>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项目资金（万元）</w:t>
            </w:r>
          </w:p>
        </w:tc>
        <w:tc>
          <w:tcPr>
            <w:tcW w:w="1522"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834"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年初预算数（</w:t>
            </w:r>
            <w:r>
              <w:rPr>
                <w:sz w:val="16"/>
              </w:rPr>
              <w:t>A</w:t>
            </w:r>
            <w:r>
              <w:rPr>
                <w:rFonts w:hint="eastAsia"/>
                <w:sz w:val="16"/>
              </w:rPr>
              <w:t>）</w:t>
            </w:r>
          </w:p>
        </w:tc>
        <w:tc>
          <w:tcPr>
            <w:tcW w:w="1088"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全年执行数（</w:t>
            </w:r>
            <w:r>
              <w:rPr>
                <w:sz w:val="16"/>
              </w:rPr>
              <w:t>B</w:t>
            </w:r>
            <w:r>
              <w:rPr>
                <w:rFonts w:hint="eastAsia"/>
                <w:sz w:val="16"/>
              </w:rPr>
              <w:t>）</w:t>
            </w:r>
          </w:p>
        </w:tc>
        <w:tc>
          <w:tcPr>
            <w:tcW w:w="1180"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分值（</w:t>
            </w:r>
            <w:r>
              <w:rPr>
                <w:sz w:val="16"/>
              </w:rPr>
              <w:t>10</w:t>
            </w:r>
            <w:r>
              <w:rPr>
                <w:rFonts w:hint="eastAsia"/>
                <w:sz w:val="16"/>
              </w:rPr>
              <w:t>分）</w:t>
            </w:r>
          </w:p>
        </w:tc>
        <w:tc>
          <w:tcPr>
            <w:tcW w:w="1680"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执行率（</w:t>
            </w:r>
            <w:r>
              <w:rPr>
                <w:sz w:val="16"/>
              </w:rPr>
              <w:t>B/A</w:t>
            </w:r>
            <w:r>
              <w:rPr>
                <w:rFonts w:hint="eastAsia"/>
                <w:sz w:val="16"/>
              </w:rPr>
              <w:t>）</w:t>
            </w:r>
          </w:p>
        </w:tc>
        <w:tc>
          <w:tcPr>
            <w:tcW w:w="792"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得分</w:t>
            </w:r>
          </w:p>
        </w:tc>
        <w:tc>
          <w:tcPr>
            <w:tcW w:w="1290" w:type="dxa"/>
            <w:gridSpan w:val="3"/>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得分计算方法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5" w:type="dxa"/>
            <w:gridSpan w:val="2"/>
            <w:vMerge w:val="continue"/>
            <w:tcBorders>
              <w:top w:val="single" w:color="auto" w:sz="4" w:space="0"/>
              <w:left w:val="single" w:color="auto" w:sz="4" w:space="0"/>
              <w:bottom w:val="single" w:color="auto" w:sz="4" w:space="0"/>
              <w:right w:val="single" w:color="auto" w:sz="4" w:space="0"/>
            </w:tcBorders>
            <w:noWrap/>
            <w:vAlign w:val="center"/>
          </w:tcPr>
          <w:p/>
        </w:tc>
        <w:tc>
          <w:tcPr>
            <w:tcW w:w="1522"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年度资金总额：</w:t>
            </w:r>
          </w:p>
        </w:tc>
        <w:tc>
          <w:tcPr>
            <w:tcW w:w="834"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5</w:t>
            </w:r>
          </w:p>
        </w:tc>
        <w:tc>
          <w:tcPr>
            <w:tcW w:w="1088"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5</w:t>
            </w:r>
          </w:p>
        </w:tc>
        <w:tc>
          <w:tcPr>
            <w:tcW w:w="1180"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10</w:t>
            </w:r>
          </w:p>
        </w:tc>
        <w:tc>
          <w:tcPr>
            <w:tcW w:w="1680"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100</w:t>
            </w:r>
            <w:r>
              <w:rPr>
                <w:rFonts w:hint="eastAsia"/>
                <w:sz w:val="16"/>
              </w:rPr>
              <w:t>％</w:t>
            </w:r>
          </w:p>
        </w:tc>
        <w:tc>
          <w:tcPr>
            <w:tcW w:w="792"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10</w:t>
            </w:r>
          </w:p>
        </w:tc>
        <w:tc>
          <w:tcPr>
            <w:tcW w:w="236"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1054" w:type="dxa"/>
            <w:gridSpan w:val="2"/>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执行率</w:t>
            </w:r>
            <w:r>
              <w:rPr>
                <w:sz w:val="16"/>
              </w:rPr>
              <w:t>*</w:t>
            </w:r>
            <w:r>
              <w:rPr>
                <w:rFonts w:hint="eastAsia"/>
                <w:sz w:val="16"/>
              </w:rPr>
              <w:t>该指标分值，最高不得超过分值上限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5" w:type="dxa"/>
            <w:gridSpan w:val="2"/>
            <w:vMerge w:val="continue"/>
            <w:tcBorders>
              <w:top w:val="single" w:color="auto" w:sz="4" w:space="0"/>
              <w:left w:val="single" w:color="auto" w:sz="4" w:space="0"/>
              <w:bottom w:val="single" w:color="auto" w:sz="4" w:space="0"/>
              <w:right w:val="single" w:color="auto" w:sz="4" w:space="0"/>
            </w:tcBorders>
            <w:noWrap/>
            <w:vAlign w:val="center"/>
          </w:tcPr>
          <w:p/>
        </w:tc>
        <w:tc>
          <w:tcPr>
            <w:tcW w:w="1522"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其中：本年一般公共预算拨款</w:t>
            </w:r>
          </w:p>
        </w:tc>
        <w:tc>
          <w:tcPr>
            <w:tcW w:w="834"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5</w:t>
            </w:r>
          </w:p>
        </w:tc>
        <w:tc>
          <w:tcPr>
            <w:tcW w:w="1088"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5</w:t>
            </w:r>
          </w:p>
        </w:tc>
        <w:tc>
          <w:tcPr>
            <w:tcW w:w="1180"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10</w:t>
            </w:r>
          </w:p>
        </w:tc>
        <w:tc>
          <w:tcPr>
            <w:tcW w:w="1680"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100</w:t>
            </w:r>
            <w:r>
              <w:rPr>
                <w:rFonts w:hint="eastAsia"/>
                <w:sz w:val="16"/>
              </w:rPr>
              <w:t>％</w:t>
            </w:r>
          </w:p>
        </w:tc>
        <w:tc>
          <w:tcPr>
            <w:tcW w:w="792"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10</w:t>
            </w:r>
          </w:p>
        </w:tc>
        <w:tc>
          <w:tcPr>
            <w:tcW w:w="236"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1054" w:type="dxa"/>
            <w:gridSpan w:val="2"/>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5" w:type="dxa"/>
            <w:gridSpan w:val="2"/>
            <w:vMerge w:val="continue"/>
            <w:tcBorders>
              <w:top w:val="single" w:color="auto" w:sz="4" w:space="0"/>
              <w:left w:val="single" w:color="auto" w:sz="4" w:space="0"/>
              <w:bottom w:val="single" w:color="auto" w:sz="4" w:space="0"/>
              <w:right w:val="single" w:color="auto" w:sz="4" w:space="0"/>
            </w:tcBorders>
            <w:noWrap/>
            <w:vAlign w:val="center"/>
          </w:tcPr>
          <w:p/>
        </w:tc>
        <w:tc>
          <w:tcPr>
            <w:tcW w:w="1522"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其他资金</w:t>
            </w:r>
          </w:p>
        </w:tc>
        <w:tc>
          <w:tcPr>
            <w:tcW w:w="834"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1088"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1180"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1680"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792"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236"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1054" w:type="dxa"/>
            <w:gridSpan w:val="2"/>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绩效指标</w:t>
            </w:r>
          </w:p>
        </w:tc>
        <w:tc>
          <w:tcPr>
            <w:tcW w:w="108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一级指标</w:t>
            </w:r>
          </w:p>
        </w:tc>
        <w:tc>
          <w:tcPr>
            <w:tcW w:w="588"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分值</w:t>
            </w:r>
          </w:p>
        </w:tc>
        <w:tc>
          <w:tcPr>
            <w:tcW w:w="1059"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二级指标</w:t>
            </w:r>
          </w:p>
        </w:tc>
        <w:tc>
          <w:tcPr>
            <w:tcW w:w="70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分值</w:t>
            </w: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三级指标</w:t>
            </w:r>
          </w:p>
        </w:tc>
        <w:tc>
          <w:tcPr>
            <w:tcW w:w="70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分值</w:t>
            </w:r>
          </w:p>
        </w:tc>
        <w:tc>
          <w:tcPr>
            <w:tcW w:w="2977" w:type="dxa"/>
            <w:gridSpan w:val="4"/>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说明</w:t>
            </w:r>
          </w:p>
        </w:tc>
        <w:tc>
          <w:tcPr>
            <w:tcW w:w="785"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tcBorders>
              <w:top w:val="single" w:color="auto" w:sz="4" w:space="0"/>
              <w:left w:val="single" w:color="auto" w:sz="4" w:space="0"/>
              <w:bottom w:val="single" w:color="auto" w:sz="4" w:space="0"/>
              <w:right w:val="single" w:color="auto" w:sz="4" w:space="0"/>
            </w:tcBorders>
            <w:noWrap/>
            <w:vAlign w:val="center"/>
          </w:tcPr>
          <w:p/>
        </w:tc>
        <w:tc>
          <w:tcPr>
            <w:tcW w:w="1089" w:type="dxa"/>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产出指标</w:t>
            </w:r>
          </w:p>
        </w:tc>
        <w:tc>
          <w:tcPr>
            <w:tcW w:w="588" w:type="dxa"/>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50</w:t>
            </w:r>
          </w:p>
          <w:p>
            <w:pPr>
              <w:jc w:val="center"/>
              <w:rPr>
                <w:sz w:val="16"/>
              </w:rPr>
            </w:pPr>
          </w:p>
        </w:tc>
        <w:tc>
          <w:tcPr>
            <w:tcW w:w="1059" w:type="dxa"/>
            <w:gridSpan w:val="2"/>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资金落实</w:t>
            </w:r>
          </w:p>
        </w:tc>
        <w:tc>
          <w:tcPr>
            <w:tcW w:w="709" w:type="dxa"/>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10</w:t>
            </w: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项目资金管理</w:t>
            </w:r>
          </w:p>
        </w:tc>
        <w:tc>
          <w:tcPr>
            <w:tcW w:w="70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6</w:t>
            </w:r>
          </w:p>
        </w:tc>
        <w:tc>
          <w:tcPr>
            <w:tcW w:w="2977" w:type="dxa"/>
            <w:gridSpan w:val="4"/>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785"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eastAsia="宋体"/>
                <w:sz w:val="16"/>
                <w:lang w:eastAsia="zh-CN"/>
              </w:rPr>
            </w:pPr>
            <w:r>
              <w:rPr>
                <w:rFonts w:hint="eastAsia" w:eastAsia="宋体"/>
                <w:sz w:val="16"/>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tcBorders>
              <w:top w:val="single" w:color="auto" w:sz="4" w:space="0"/>
              <w:left w:val="single" w:color="auto" w:sz="4" w:space="0"/>
              <w:bottom w:val="single" w:color="auto" w:sz="4" w:space="0"/>
              <w:right w:val="single" w:color="auto" w:sz="4" w:space="0"/>
            </w:tcBorders>
            <w:noWrap/>
            <w:vAlign w:val="center"/>
          </w:tcPr>
          <w:p/>
        </w:tc>
        <w:tc>
          <w:tcPr>
            <w:tcW w:w="1089" w:type="dxa"/>
            <w:vMerge w:val="continue"/>
            <w:tcBorders>
              <w:top w:val="single" w:color="auto" w:sz="4" w:space="0"/>
              <w:left w:val="single" w:color="auto" w:sz="4" w:space="0"/>
              <w:bottom w:val="single" w:color="auto" w:sz="4" w:space="0"/>
              <w:right w:val="single" w:color="auto" w:sz="4" w:space="0"/>
            </w:tcBorders>
            <w:noWrap/>
            <w:vAlign w:val="center"/>
          </w:tcPr>
          <w:p/>
        </w:tc>
        <w:tc>
          <w:tcPr>
            <w:tcW w:w="588" w:type="dxa"/>
            <w:vMerge w:val="continue"/>
            <w:tcBorders>
              <w:top w:val="single" w:color="auto" w:sz="4" w:space="0"/>
              <w:left w:val="single" w:color="auto" w:sz="4" w:space="0"/>
              <w:bottom w:val="single" w:color="auto" w:sz="4" w:space="0"/>
              <w:right w:val="single" w:color="auto" w:sz="4" w:space="0"/>
            </w:tcBorders>
            <w:noWrap/>
            <w:vAlign w:val="center"/>
          </w:tcPr>
          <w:p/>
        </w:tc>
        <w:tc>
          <w:tcPr>
            <w:tcW w:w="1059" w:type="dxa"/>
            <w:gridSpan w:val="2"/>
            <w:vMerge w:val="continue"/>
            <w:tcBorders>
              <w:top w:val="single" w:color="auto" w:sz="4" w:space="0"/>
              <w:left w:val="single" w:color="auto" w:sz="4" w:space="0"/>
              <w:bottom w:val="single" w:color="auto" w:sz="4" w:space="0"/>
              <w:right w:val="single" w:color="auto" w:sz="4" w:space="0"/>
            </w:tcBorders>
            <w:noWrap/>
            <w:vAlign w:val="center"/>
          </w:tcPr>
          <w:p/>
        </w:tc>
        <w:tc>
          <w:tcPr>
            <w:tcW w:w="709" w:type="dxa"/>
            <w:vMerge w:val="continue"/>
            <w:tcBorders>
              <w:top w:val="single" w:color="auto" w:sz="4" w:space="0"/>
              <w:left w:val="single" w:color="auto" w:sz="4" w:space="0"/>
              <w:bottom w:val="single" w:color="auto" w:sz="4" w:space="0"/>
              <w:right w:val="single" w:color="auto" w:sz="4" w:space="0"/>
            </w:tcBorders>
            <w:noWrap/>
            <w:vAlign w:val="center"/>
          </w:tcP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资金到位及时</w:t>
            </w:r>
          </w:p>
        </w:tc>
        <w:tc>
          <w:tcPr>
            <w:tcW w:w="70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4</w:t>
            </w:r>
          </w:p>
        </w:tc>
        <w:tc>
          <w:tcPr>
            <w:tcW w:w="2977" w:type="dxa"/>
            <w:gridSpan w:val="4"/>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785"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tcBorders>
              <w:top w:val="single" w:color="auto" w:sz="4" w:space="0"/>
              <w:left w:val="single" w:color="auto" w:sz="4" w:space="0"/>
              <w:bottom w:val="single" w:color="auto" w:sz="4" w:space="0"/>
              <w:right w:val="single" w:color="auto" w:sz="4" w:space="0"/>
            </w:tcBorders>
            <w:noWrap/>
            <w:vAlign w:val="center"/>
          </w:tcPr>
          <w:p/>
        </w:tc>
        <w:tc>
          <w:tcPr>
            <w:tcW w:w="1089" w:type="dxa"/>
            <w:vMerge w:val="continue"/>
            <w:tcBorders>
              <w:top w:val="single" w:color="auto" w:sz="4" w:space="0"/>
              <w:left w:val="single" w:color="auto" w:sz="4" w:space="0"/>
              <w:bottom w:val="single" w:color="auto" w:sz="4" w:space="0"/>
              <w:right w:val="single" w:color="auto" w:sz="4" w:space="0"/>
            </w:tcBorders>
            <w:noWrap/>
            <w:vAlign w:val="center"/>
          </w:tcPr>
          <w:p/>
        </w:tc>
        <w:tc>
          <w:tcPr>
            <w:tcW w:w="588" w:type="dxa"/>
            <w:vMerge w:val="continue"/>
            <w:tcBorders>
              <w:top w:val="single" w:color="auto" w:sz="4" w:space="0"/>
              <w:left w:val="single" w:color="auto" w:sz="4" w:space="0"/>
              <w:bottom w:val="single" w:color="auto" w:sz="4" w:space="0"/>
              <w:right w:val="single" w:color="auto" w:sz="4" w:space="0"/>
            </w:tcBorders>
            <w:noWrap/>
            <w:vAlign w:val="center"/>
          </w:tcPr>
          <w:p/>
        </w:tc>
        <w:tc>
          <w:tcPr>
            <w:tcW w:w="1059" w:type="dxa"/>
            <w:gridSpan w:val="2"/>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项目管理</w:t>
            </w:r>
          </w:p>
        </w:tc>
        <w:tc>
          <w:tcPr>
            <w:tcW w:w="709" w:type="dxa"/>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10</w:t>
            </w: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资料报送情况</w:t>
            </w:r>
          </w:p>
        </w:tc>
        <w:tc>
          <w:tcPr>
            <w:tcW w:w="70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4</w:t>
            </w:r>
          </w:p>
        </w:tc>
        <w:tc>
          <w:tcPr>
            <w:tcW w:w="2977" w:type="dxa"/>
            <w:gridSpan w:val="4"/>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785" w:type="dxa"/>
            <w:tcBorders>
              <w:top w:val="single" w:color="auto" w:sz="4" w:space="0"/>
              <w:left w:val="single" w:color="auto" w:sz="4" w:space="0"/>
              <w:bottom w:val="single" w:color="auto" w:sz="4" w:space="0"/>
              <w:right w:val="single" w:color="auto" w:sz="4" w:space="0"/>
            </w:tcBorders>
            <w:noWrap/>
            <w:vAlign w:val="center"/>
          </w:tcPr>
          <w:p>
            <w:pPr>
              <w:jc w:val="center"/>
              <w:rPr>
                <w:rFonts w:eastAsia="宋体"/>
                <w:sz w:val="16"/>
              </w:rPr>
            </w:pPr>
            <w:r>
              <w:rPr>
                <w:rFonts w:hint="eastAsia"/>
                <w:sz w:val="16"/>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tcBorders>
              <w:top w:val="single" w:color="auto" w:sz="4" w:space="0"/>
              <w:left w:val="single" w:color="auto" w:sz="4" w:space="0"/>
              <w:bottom w:val="single" w:color="auto" w:sz="4" w:space="0"/>
              <w:right w:val="single" w:color="auto" w:sz="4" w:space="0"/>
            </w:tcBorders>
            <w:noWrap/>
            <w:vAlign w:val="center"/>
          </w:tcPr>
          <w:p/>
        </w:tc>
        <w:tc>
          <w:tcPr>
            <w:tcW w:w="1089" w:type="dxa"/>
            <w:vMerge w:val="continue"/>
            <w:tcBorders>
              <w:top w:val="single" w:color="auto" w:sz="4" w:space="0"/>
              <w:left w:val="single" w:color="auto" w:sz="4" w:space="0"/>
              <w:bottom w:val="single" w:color="auto" w:sz="4" w:space="0"/>
              <w:right w:val="single" w:color="auto" w:sz="4" w:space="0"/>
            </w:tcBorders>
            <w:noWrap/>
            <w:vAlign w:val="center"/>
          </w:tcPr>
          <w:p/>
        </w:tc>
        <w:tc>
          <w:tcPr>
            <w:tcW w:w="588" w:type="dxa"/>
            <w:vMerge w:val="continue"/>
            <w:tcBorders>
              <w:top w:val="single" w:color="auto" w:sz="4" w:space="0"/>
              <w:left w:val="single" w:color="auto" w:sz="4" w:space="0"/>
              <w:bottom w:val="single" w:color="auto" w:sz="4" w:space="0"/>
              <w:right w:val="single" w:color="auto" w:sz="4" w:space="0"/>
            </w:tcBorders>
            <w:noWrap/>
            <w:vAlign w:val="center"/>
          </w:tcPr>
          <w:p/>
        </w:tc>
        <w:tc>
          <w:tcPr>
            <w:tcW w:w="1059" w:type="dxa"/>
            <w:gridSpan w:val="2"/>
            <w:vMerge w:val="continue"/>
            <w:tcBorders>
              <w:top w:val="single" w:color="auto" w:sz="4" w:space="0"/>
              <w:left w:val="single" w:color="auto" w:sz="4" w:space="0"/>
              <w:bottom w:val="single" w:color="auto" w:sz="4" w:space="0"/>
              <w:right w:val="single" w:color="auto" w:sz="4" w:space="0"/>
            </w:tcBorders>
            <w:noWrap/>
            <w:vAlign w:val="center"/>
          </w:tcPr>
          <w:p/>
        </w:tc>
        <w:tc>
          <w:tcPr>
            <w:tcW w:w="709" w:type="dxa"/>
            <w:vMerge w:val="continue"/>
            <w:tcBorders>
              <w:top w:val="single" w:color="auto" w:sz="4" w:space="0"/>
              <w:left w:val="single" w:color="auto" w:sz="4" w:space="0"/>
              <w:bottom w:val="single" w:color="auto" w:sz="4" w:space="0"/>
              <w:right w:val="single" w:color="auto" w:sz="4" w:space="0"/>
            </w:tcBorders>
            <w:noWrap/>
            <w:vAlign w:val="center"/>
          </w:tcP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项目管理规范</w:t>
            </w:r>
          </w:p>
        </w:tc>
        <w:tc>
          <w:tcPr>
            <w:tcW w:w="70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2</w:t>
            </w:r>
          </w:p>
        </w:tc>
        <w:tc>
          <w:tcPr>
            <w:tcW w:w="2977" w:type="dxa"/>
            <w:gridSpan w:val="4"/>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785" w:type="dxa"/>
            <w:tcBorders>
              <w:top w:val="single" w:color="auto" w:sz="4" w:space="0"/>
              <w:left w:val="single" w:color="auto" w:sz="4" w:space="0"/>
              <w:bottom w:val="single" w:color="auto" w:sz="4" w:space="0"/>
              <w:right w:val="single" w:color="auto" w:sz="4" w:space="0"/>
            </w:tcBorders>
            <w:noWrap/>
            <w:vAlign w:val="center"/>
          </w:tcPr>
          <w:p>
            <w:pPr>
              <w:jc w:val="center"/>
              <w:rPr>
                <w:rFonts w:eastAsia="宋体"/>
                <w:sz w:val="16"/>
              </w:rPr>
            </w:pPr>
            <w:r>
              <w:rPr>
                <w:rFonts w:hint="eastAsia"/>
                <w:sz w:val="16"/>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tcBorders>
              <w:top w:val="single" w:color="auto" w:sz="4" w:space="0"/>
              <w:left w:val="single" w:color="auto" w:sz="4" w:space="0"/>
              <w:bottom w:val="single" w:color="auto" w:sz="4" w:space="0"/>
              <w:right w:val="single" w:color="auto" w:sz="4" w:space="0"/>
            </w:tcBorders>
            <w:noWrap/>
            <w:vAlign w:val="center"/>
          </w:tcPr>
          <w:p/>
        </w:tc>
        <w:tc>
          <w:tcPr>
            <w:tcW w:w="1089" w:type="dxa"/>
            <w:vMerge w:val="continue"/>
            <w:tcBorders>
              <w:top w:val="single" w:color="auto" w:sz="4" w:space="0"/>
              <w:left w:val="single" w:color="auto" w:sz="4" w:space="0"/>
              <w:bottom w:val="single" w:color="auto" w:sz="4" w:space="0"/>
              <w:right w:val="single" w:color="auto" w:sz="4" w:space="0"/>
            </w:tcBorders>
            <w:noWrap/>
            <w:vAlign w:val="center"/>
          </w:tcPr>
          <w:p/>
        </w:tc>
        <w:tc>
          <w:tcPr>
            <w:tcW w:w="588" w:type="dxa"/>
            <w:vMerge w:val="continue"/>
            <w:tcBorders>
              <w:top w:val="single" w:color="auto" w:sz="4" w:space="0"/>
              <w:left w:val="single" w:color="auto" w:sz="4" w:space="0"/>
              <w:bottom w:val="single" w:color="auto" w:sz="4" w:space="0"/>
              <w:right w:val="single" w:color="auto" w:sz="4" w:space="0"/>
            </w:tcBorders>
            <w:noWrap/>
            <w:vAlign w:val="center"/>
          </w:tcPr>
          <w:p/>
        </w:tc>
        <w:tc>
          <w:tcPr>
            <w:tcW w:w="1059" w:type="dxa"/>
            <w:gridSpan w:val="2"/>
            <w:vMerge w:val="continue"/>
            <w:tcBorders>
              <w:top w:val="single" w:color="auto" w:sz="4" w:space="0"/>
              <w:left w:val="single" w:color="auto" w:sz="4" w:space="0"/>
              <w:bottom w:val="single" w:color="auto" w:sz="4" w:space="0"/>
              <w:right w:val="single" w:color="auto" w:sz="4" w:space="0"/>
            </w:tcBorders>
            <w:noWrap/>
            <w:vAlign w:val="center"/>
          </w:tcPr>
          <w:p/>
        </w:tc>
        <w:tc>
          <w:tcPr>
            <w:tcW w:w="709" w:type="dxa"/>
            <w:vMerge w:val="continue"/>
            <w:tcBorders>
              <w:top w:val="single" w:color="auto" w:sz="4" w:space="0"/>
              <w:left w:val="single" w:color="auto" w:sz="4" w:space="0"/>
              <w:bottom w:val="single" w:color="auto" w:sz="4" w:space="0"/>
              <w:right w:val="single" w:color="auto" w:sz="4" w:space="0"/>
            </w:tcBorders>
            <w:noWrap/>
            <w:vAlign w:val="center"/>
          </w:tcP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项目监督检查</w:t>
            </w:r>
          </w:p>
        </w:tc>
        <w:tc>
          <w:tcPr>
            <w:tcW w:w="70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4</w:t>
            </w:r>
          </w:p>
        </w:tc>
        <w:tc>
          <w:tcPr>
            <w:tcW w:w="2977" w:type="dxa"/>
            <w:gridSpan w:val="4"/>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785" w:type="dxa"/>
            <w:tcBorders>
              <w:top w:val="single" w:color="auto" w:sz="4" w:space="0"/>
              <w:left w:val="single" w:color="auto" w:sz="4" w:space="0"/>
              <w:bottom w:val="single" w:color="auto" w:sz="4" w:space="0"/>
              <w:right w:val="single" w:color="auto" w:sz="4" w:space="0"/>
            </w:tcBorders>
            <w:noWrap/>
            <w:vAlign w:val="center"/>
          </w:tcPr>
          <w:p>
            <w:pPr>
              <w:jc w:val="center"/>
              <w:rPr>
                <w:rFonts w:eastAsia="宋体"/>
                <w:sz w:val="16"/>
              </w:rPr>
            </w:pPr>
            <w:r>
              <w:rPr>
                <w:rFonts w:hint="eastAsia"/>
                <w:sz w:val="16"/>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tcBorders>
              <w:top w:val="single" w:color="auto" w:sz="4" w:space="0"/>
              <w:left w:val="single" w:color="auto" w:sz="4" w:space="0"/>
              <w:bottom w:val="single" w:color="auto" w:sz="4" w:space="0"/>
              <w:right w:val="single" w:color="auto" w:sz="4" w:space="0"/>
            </w:tcBorders>
            <w:noWrap/>
            <w:vAlign w:val="center"/>
          </w:tcPr>
          <w:p/>
        </w:tc>
        <w:tc>
          <w:tcPr>
            <w:tcW w:w="1089" w:type="dxa"/>
            <w:vMerge w:val="continue"/>
            <w:tcBorders>
              <w:top w:val="single" w:color="auto" w:sz="4" w:space="0"/>
              <w:left w:val="single" w:color="auto" w:sz="4" w:space="0"/>
              <w:bottom w:val="single" w:color="auto" w:sz="4" w:space="0"/>
              <w:right w:val="single" w:color="auto" w:sz="4" w:space="0"/>
            </w:tcBorders>
            <w:noWrap/>
            <w:vAlign w:val="center"/>
          </w:tcPr>
          <w:p/>
        </w:tc>
        <w:tc>
          <w:tcPr>
            <w:tcW w:w="588" w:type="dxa"/>
            <w:vMerge w:val="continue"/>
            <w:tcBorders>
              <w:top w:val="single" w:color="auto" w:sz="4" w:space="0"/>
              <w:left w:val="single" w:color="auto" w:sz="4" w:space="0"/>
              <w:bottom w:val="single" w:color="auto" w:sz="4" w:space="0"/>
              <w:right w:val="single" w:color="auto" w:sz="4" w:space="0"/>
            </w:tcBorders>
            <w:noWrap/>
            <w:vAlign w:val="center"/>
          </w:tcPr>
          <w:p/>
        </w:tc>
        <w:tc>
          <w:tcPr>
            <w:tcW w:w="1059" w:type="dxa"/>
            <w:gridSpan w:val="2"/>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财务管理</w:t>
            </w:r>
          </w:p>
        </w:tc>
        <w:tc>
          <w:tcPr>
            <w:tcW w:w="709" w:type="dxa"/>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10</w:t>
            </w: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财务管理规范</w:t>
            </w:r>
          </w:p>
        </w:tc>
        <w:tc>
          <w:tcPr>
            <w:tcW w:w="70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4</w:t>
            </w:r>
          </w:p>
        </w:tc>
        <w:tc>
          <w:tcPr>
            <w:tcW w:w="2977" w:type="dxa"/>
            <w:gridSpan w:val="4"/>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785" w:type="dxa"/>
            <w:tcBorders>
              <w:top w:val="single" w:color="auto" w:sz="4" w:space="0"/>
              <w:left w:val="single" w:color="auto" w:sz="4" w:space="0"/>
              <w:bottom w:val="single" w:color="auto" w:sz="4" w:space="0"/>
              <w:right w:val="single" w:color="auto" w:sz="4" w:space="0"/>
            </w:tcBorders>
            <w:noWrap/>
            <w:vAlign w:val="center"/>
          </w:tcPr>
          <w:p>
            <w:pPr>
              <w:jc w:val="center"/>
              <w:rPr>
                <w:rFonts w:eastAsia="宋体"/>
                <w:sz w:val="16"/>
              </w:rPr>
            </w:pPr>
            <w:r>
              <w:rPr>
                <w:rFonts w:hint="eastAsia"/>
                <w:sz w:val="16"/>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tcBorders>
              <w:top w:val="single" w:color="auto" w:sz="4" w:space="0"/>
              <w:left w:val="single" w:color="auto" w:sz="4" w:space="0"/>
              <w:bottom w:val="single" w:color="auto" w:sz="4" w:space="0"/>
              <w:right w:val="single" w:color="auto" w:sz="4" w:space="0"/>
            </w:tcBorders>
            <w:noWrap/>
            <w:vAlign w:val="center"/>
          </w:tcPr>
          <w:p/>
        </w:tc>
        <w:tc>
          <w:tcPr>
            <w:tcW w:w="1089" w:type="dxa"/>
            <w:vMerge w:val="continue"/>
            <w:tcBorders>
              <w:top w:val="single" w:color="auto" w:sz="4" w:space="0"/>
              <w:left w:val="single" w:color="auto" w:sz="4" w:space="0"/>
              <w:bottom w:val="single" w:color="auto" w:sz="4" w:space="0"/>
              <w:right w:val="single" w:color="auto" w:sz="4" w:space="0"/>
            </w:tcBorders>
            <w:noWrap/>
            <w:vAlign w:val="center"/>
          </w:tcPr>
          <w:p/>
        </w:tc>
        <w:tc>
          <w:tcPr>
            <w:tcW w:w="588" w:type="dxa"/>
            <w:vMerge w:val="continue"/>
            <w:tcBorders>
              <w:top w:val="single" w:color="auto" w:sz="4" w:space="0"/>
              <w:left w:val="single" w:color="auto" w:sz="4" w:space="0"/>
              <w:bottom w:val="single" w:color="auto" w:sz="4" w:space="0"/>
              <w:right w:val="single" w:color="auto" w:sz="4" w:space="0"/>
            </w:tcBorders>
            <w:noWrap/>
            <w:vAlign w:val="center"/>
          </w:tcPr>
          <w:p/>
        </w:tc>
        <w:tc>
          <w:tcPr>
            <w:tcW w:w="1059" w:type="dxa"/>
            <w:gridSpan w:val="2"/>
            <w:vMerge w:val="continue"/>
            <w:tcBorders>
              <w:top w:val="single" w:color="auto" w:sz="4" w:space="0"/>
              <w:left w:val="single" w:color="auto" w:sz="4" w:space="0"/>
              <w:bottom w:val="single" w:color="auto" w:sz="4" w:space="0"/>
              <w:right w:val="single" w:color="auto" w:sz="4" w:space="0"/>
            </w:tcBorders>
            <w:noWrap/>
            <w:vAlign w:val="center"/>
          </w:tcPr>
          <w:p/>
        </w:tc>
        <w:tc>
          <w:tcPr>
            <w:tcW w:w="709" w:type="dxa"/>
            <w:vMerge w:val="continue"/>
            <w:tcBorders>
              <w:top w:val="single" w:color="auto" w:sz="4" w:space="0"/>
              <w:left w:val="single" w:color="auto" w:sz="4" w:space="0"/>
              <w:bottom w:val="single" w:color="auto" w:sz="4" w:space="0"/>
              <w:right w:val="single" w:color="auto" w:sz="4" w:space="0"/>
            </w:tcBorders>
            <w:noWrap/>
            <w:vAlign w:val="center"/>
          </w:tcP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资金使用合规</w:t>
            </w:r>
          </w:p>
        </w:tc>
        <w:tc>
          <w:tcPr>
            <w:tcW w:w="70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6</w:t>
            </w:r>
          </w:p>
        </w:tc>
        <w:tc>
          <w:tcPr>
            <w:tcW w:w="2977" w:type="dxa"/>
            <w:gridSpan w:val="4"/>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785" w:type="dxa"/>
            <w:tcBorders>
              <w:top w:val="single" w:color="auto" w:sz="4" w:space="0"/>
              <w:left w:val="single" w:color="auto" w:sz="4" w:space="0"/>
              <w:bottom w:val="single" w:color="auto" w:sz="4" w:space="0"/>
              <w:right w:val="single" w:color="auto" w:sz="4" w:space="0"/>
            </w:tcBorders>
            <w:noWrap/>
            <w:vAlign w:val="center"/>
          </w:tcPr>
          <w:p>
            <w:pPr>
              <w:jc w:val="center"/>
              <w:rPr>
                <w:rFonts w:eastAsia="宋体"/>
                <w:sz w:val="16"/>
              </w:rPr>
            </w:pPr>
            <w:r>
              <w:rPr>
                <w:rFonts w:hint="eastAsia"/>
                <w:sz w:val="16"/>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tcBorders>
              <w:top w:val="single" w:color="auto" w:sz="4" w:space="0"/>
              <w:left w:val="single" w:color="auto" w:sz="4" w:space="0"/>
              <w:bottom w:val="single" w:color="auto" w:sz="4" w:space="0"/>
              <w:right w:val="single" w:color="auto" w:sz="4" w:space="0"/>
            </w:tcBorders>
            <w:noWrap/>
            <w:vAlign w:val="center"/>
          </w:tcPr>
          <w:p/>
        </w:tc>
        <w:tc>
          <w:tcPr>
            <w:tcW w:w="1089" w:type="dxa"/>
            <w:vMerge w:val="continue"/>
            <w:tcBorders>
              <w:top w:val="single" w:color="auto" w:sz="4" w:space="0"/>
              <w:left w:val="single" w:color="auto" w:sz="4" w:space="0"/>
              <w:bottom w:val="single" w:color="auto" w:sz="4" w:space="0"/>
              <w:right w:val="single" w:color="auto" w:sz="4" w:space="0"/>
            </w:tcBorders>
            <w:noWrap/>
            <w:vAlign w:val="center"/>
          </w:tcPr>
          <w:p/>
        </w:tc>
        <w:tc>
          <w:tcPr>
            <w:tcW w:w="588" w:type="dxa"/>
            <w:vMerge w:val="continue"/>
            <w:tcBorders>
              <w:top w:val="single" w:color="auto" w:sz="4" w:space="0"/>
              <w:left w:val="single" w:color="auto" w:sz="4" w:space="0"/>
              <w:bottom w:val="single" w:color="auto" w:sz="4" w:space="0"/>
              <w:right w:val="single" w:color="auto" w:sz="4" w:space="0"/>
            </w:tcBorders>
            <w:noWrap/>
            <w:vAlign w:val="center"/>
          </w:tcPr>
          <w:p/>
        </w:tc>
        <w:tc>
          <w:tcPr>
            <w:tcW w:w="1059" w:type="dxa"/>
            <w:gridSpan w:val="2"/>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项目产出</w:t>
            </w:r>
          </w:p>
        </w:tc>
        <w:tc>
          <w:tcPr>
            <w:tcW w:w="709" w:type="dxa"/>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20</w:t>
            </w: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完成内容一致</w:t>
            </w:r>
          </w:p>
        </w:tc>
        <w:tc>
          <w:tcPr>
            <w:tcW w:w="70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10</w:t>
            </w:r>
          </w:p>
        </w:tc>
        <w:tc>
          <w:tcPr>
            <w:tcW w:w="2977" w:type="dxa"/>
            <w:gridSpan w:val="4"/>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785" w:type="dxa"/>
            <w:tcBorders>
              <w:top w:val="single" w:color="auto" w:sz="4" w:space="0"/>
              <w:left w:val="single" w:color="auto" w:sz="4" w:space="0"/>
              <w:bottom w:val="single" w:color="auto" w:sz="4" w:space="0"/>
              <w:right w:val="single" w:color="auto" w:sz="4" w:space="0"/>
            </w:tcBorders>
            <w:noWrap/>
            <w:vAlign w:val="center"/>
          </w:tcPr>
          <w:p>
            <w:pPr>
              <w:jc w:val="center"/>
              <w:rPr>
                <w:rFonts w:eastAsia="宋体"/>
                <w:sz w:val="16"/>
              </w:rPr>
            </w:pPr>
            <w:r>
              <w:rPr>
                <w:rFonts w:hint="eastAsia"/>
                <w:sz w:val="16"/>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tcBorders>
              <w:top w:val="single" w:color="auto" w:sz="4" w:space="0"/>
              <w:left w:val="single" w:color="auto" w:sz="4" w:space="0"/>
              <w:bottom w:val="single" w:color="auto" w:sz="4" w:space="0"/>
              <w:right w:val="single" w:color="auto" w:sz="4" w:space="0"/>
            </w:tcBorders>
            <w:noWrap/>
            <w:vAlign w:val="center"/>
          </w:tcPr>
          <w:p/>
        </w:tc>
        <w:tc>
          <w:tcPr>
            <w:tcW w:w="1089" w:type="dxa"/>
            <w:vMerge w:val="continue"/>
            <w:tcBorders>
              <w:top w:val="single" w:color="auto" w:sz="4" w:space="0"/>
              <w:left w:val="single" w:color="auto" w:sz="4" w:space="0"/>
              <w:bottom w:val="single" w:color="auto" w:sz="4" w:space="0"/>
              <w:right w:val="single" w:color="auto" w:sz="4" w:space="0"/>
            </w:tcBorders>
            <w:noWrap/>
            <w:vAlign w:val="center"/>
          </w:tcPr>
          <w:p/>
        </w:tc>
        <w:tc>
          <w:tcPr>
            <w:tcW w:w="588" w:type="dxa"/>
            <w:vMerge w:val="continue"/>
            <w:tcBorders>
              <w:top w:val="single" w:color="auto" w:sz="4" w:space="0"/>
              <w:left w:val="single" w:color="auto" w:sz="4" w:space="0"/>
              <w:bottom w:val="single" w:color="auto" w:sz="4" w:space="0"/>
              <w:right w:val="single" w:color="auto" w:sz="4" w:space="0"/>
            </w:tcBorders>
            <w:noWrap/>
            <w:vAlign w:val="center"/>
          </w:tcPr>
          <w:p/>
        </w:tc>
        <w:tc>
          <w:tcPr>
            <w:tcW w:w="1059" w:type="dxa"/>
            <w:gridSpan w:val="2"/>
            <w:vMerge w:val="continue"/>
            <w:tcBorders>
              <w:top w:val="single" w:color="auto" w:sz="4" w:space="0"/>
              <w:left w:val="single" w:color="auto" w:sz="4" w:space="0"/>
              <w:bottom w:val="single" w:color="auto" w:sz="4" w:space="0"/>
              <w:right w:val="single" w:color="auto" w:sz="4" w:space="0"/>
            </w:tcBorders>
            <w:noWrap/>
            <w:vAlign w:val="center"/>
          </w:tcPr>
          <w:p/>
        </w:tc>
        <w:tc>
          <w:tcPr>
            <w:tcW w:w="709" w:type="dxa"/>
            <w:vMerge w:val="continue"/>
            <w:tcBorders>
              <w:top w:val="single" w:color="auto" w:sz="4" w:space="0"/>
              <w:left w:val="single" w:color="auto" w:sz="4" w:space="0"/>
              <w:bottom w:val="single" w:color="auto" w:sz="4" w:space="0"/>
              <w:right w:val="single" w:color="auto" w:sz="4" w:space="0"/>
            </w:tcBorders>
            <w:noWrap/>
            <w:vAlign w:val="center"/>
          </w:tcP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项目目标实现</w:t>
            </w:r>
          </w:p>
        </w:tc>
        <w:tc>
          <w:tcPr>
            <w:tcW w:w="70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10</w:t>
            </w:r>
          </w:p>
        </w:tc>
        <w:tc>
          <w:tcPr>
            <w:tcW w:w="2977" w:type="dxa"/>
            <w:gridSpan w:val="4"/>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785" w:type="dxa"/>
            <w:tcBorders>
              <w:top w:val="single" w:color="auto" w:sz="4" w:space="0"/>
              <w:left w:val="single" w:color="auto" w:sz="4" w:space="0"/>
              <w:bottom w:val="single" w:color="auto" w:sz="4" w:space="0"/>
              <w:right w:val="single" w:color="auto" w:sz="4" w:space="0"/>
            </w:tcBorders>
            <w:noWrap/>
            <w:vAlign w:val="center"/>
          </w:tcPr>
          <w:p>
            <w:pPr>
              <w:jc w:val="center"/>
              <w:rPr>
                <w:rFonts w:eastAsia="宋体"/>
                <w:sz w:val="16"/>
              </w:rPr>
            </w:pPr>
            <w:r>
              <w:rPr>
                <w:rFonts w:hint="eastAsia"/>
                <w:sz w:val="16"/>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tcBorders>
              <w:top w:val="single" w:color="auto" w:sz="4" w:space="0"/>
              <w:left w:val="single" w:color="auto" w:sz="4" w:space="0"/>
              <w:bottom w:val="single" w:color="auto" w:sz="4" w:space="0"/>
              <w:right w:val="single" w:color="auto" w:sz="4" w:space="0"/>
            </w:tcBorders>
            <w:noWrap/>
            <w:vAlign w:val="center"/>
          </w:tcPr>
          <w:p/>
        </w:tc>
        <w:tc>
          <w:tcPr>
            <w:tcW w:w="1089" w:type="dxa"/>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效益指标</w:t>
            </w:r>
          </w:p>
        </w:tc>
        <w:tc>
          <w:tcPr>
            <w:tcW w:w="588" w:type="dxa"/>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30</w:t>
            </w:r>
          </w:p>
        </w:tc>
        <w:tc>
          <w:tcPr>
            <w:tcW w:w="1059" w:type="dxa"/>
            <w:gridSpan w:val="2"/>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项目申报</w:t>
            </w:r>
          </w:p>
        </w:tc>
        <w:tc>
          <w:tcPr>
            <w:tcW w:w="709" w:type="dxa"/>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6</w:t>
            </w: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项目申报公开</w:t>
            </w:r>
          </w:p>
        </w:tc>
        <w:tc>
          <w:tcPr>
            <w:tcW w:w="70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2</w:t>
            </w:r>
          </w:p>
        </w:tc>
        <w:tc>
          <w:tcPr>
            <w:tcW w:w="2977" w:type="dxa"/>
            <w:gridSpan w:val="4"/>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785"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tcBorders>
              <w:top w:val="single" w:color="auto" w:sz="4" w:space="0"/>
              <w:left w:val="single" w:color="auto" w:sz="4" w:space="0"/>
              <w:bottom w:val="single" w:color="auto" w:sz="4" w:space="0"/>
              <w:right w:val="single" w:color="auto" w:sz="4" w:space="0"/>
            </w:tcBorders>
            <w:noWrap/>
            <w:vAlign w:val="center"/>
          </w:tcPr>
          <w:p/>
        </w:tc>
        <w:tc>
          <w:tcPr>
            <w:tcW w:w="1089" w:type="dxa"/>
            <w:vMerge w:val="continue"/>
            <w:tcBorders>
              <w:top w:val="single" w:color="auto" w:sz="4" w:space="0"/>
              <w:left w:val="single" w:color="auto" w:sz="4" w:space="0"/>
              <w:bottom w:val="single" w:color="auto" w:sz="4" w:space="0"/>
              <w:right w:val="single" w:color="auto" w:sz="4" w:space="0"/>
            </w:tcBorders>
            <w:noWrap/>
            <w:vAlign w:val="center"/>
          </w:tcPr>
          <w:p/>
        </w:tc>
        <w:tc>
          <w:tcPr>
            <w:tcW w:w="588" w:type="dxa"/>
            <w:vMerge w:val="continue"/>
            <w:tcBorders>
              <w:top w:val="single" w:color="auto" w:sz="4" w:space="0"/>
              <w:left w:val="single" w:color="auto" w:sz="4" w:space="0"/>
              <w:bottom w:val="single" w:color="auto" w:sz="4" w:space="0"/>
              <w:right w:val="single" w:color="auto" w:sz="4" w:space="0"/>
            </w:tcBorders>
            <w:noWrap/>
            <w:vAlign w:val="center"/>
          </w:tcPr>
          <w:p/>
        </w:tc>
        <w:tc>
          <w:tcPr>
            <w:tcW w:w="1059" w:type="dxa"/>
            <w:gridSpan w:val="2"/>
            <w:vMerge w:val="continue"/>
            <w:tcBorders>
              <w:top w:val="single" w:color="auto" w:sz="4" w:space="0"/>
              <w:left w:val="single" w:color="auto" w:sz="4" w:space="0"/>
              <w:bottom w:val="single" w:color="auto" w:sz="4" w:space="0"/>
              <w:right w:val="single" w:color="auto" w:sz="4" w:space="0"/>
            </w:tcBorders>
            <w:noWrap/>
            <w:vAlign w:val="center"/>
          </w:tcPr>
          <w:p/>
        </w:tc>
        <w:tc>
          <w:tcPr>
            <w:tcW w:w="709" w:type="dxa"/>
            <w:vMerge w:val="continue"/>
            <w:tcBorders>
              <w:top w:val="single" w:color="auto" w:sz="4" w:space="0"/>
              <w:left w:val="single" w:color="auto" w:sz="4" w:space="0"/>
              <w:bottom w:val="single" w:color="auto" w:sz="4" w:space="0"/>
              <w:right w:val="single" w:color="auto" w:sz="4" w:space="0"/>
            </w:tcBorders>
            <w:noWrap/>
            <w:vAlign w:val="center"/>
          </w:tcP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项目遴选评审</w:t>
            </w:r>
          </w:p>
        </w:tc>
        <w:tc>
          <w:tcPr>
            <w:tcW w:w="70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4</w:t>
            </w:r>
          </w:p>
        </w:tc>
        <w:tc>
          <w:tcPr>
            <w:tcW w:w="2977" w:type="dxa"/>
            <w:gridSpan w:val="4"/>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785" w:type="dxa"/>
            <w:tcBorders>
              <w:top w:val="single" w:color="auto" w:sz="4" w:space="0"/>
              <w:left w:val="single" w:color="auto" w:sz="4" w:space="0"/>
              <w:bottom w:val="single" w:color="auto" w:sz="4" w:space="0"/>
              <w:right w:val="single" w:color="auto" w:sz="4" w:space="0"/>
            </w:tcBorders>
            <w:noWrap/>
            <w:vAlign w:val="center"/>
          </w:tcPr>
          <w:p>
            <w:pPr>
              <w:jc w:val="center"/>
              <w:rPr>
                <w:rFonts w:eastAsia="宋体"/>
                <w:sz w:val="16"/>
              </w:rPr>
            </w:pPr>
            <w:r>
              <w:rPr>
                <w:rFonts w:hint="eastAsia"/>
                <w:sz w:val="16"/>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tcBorders>
              <w:top w:val="single" w:color="auto" w:sz="4" w:space="0"/>
              <w:left w:val="single" w:color="auto" w:sz="4" w:space="0"/>
              <w:bottom w:val="single" w:color="auto" w:sz="4" w:space="0"/>
              <w:right w:val="single" w:color="auto" w:sz="4" w:space="0"/>
            </w:tcBorders>
            <w:noWrap/>
            <w:vAlign w:val="center"/>
          </w:tcPr>
          <w:p/>
        </w:tc>
        <w:tc>
          <w:tcPr>
            <w:tcW w:w="1089" w:type="dxa"/>
            <w:vMerge w:val="continue"/>
            <w:tcBorders>
              <w:top w:val="single" w:color="auto" w:sz="4" w:space="0"/>
              <w:left w:val="single" w:color="auto" w:sz="4" w:space="0"/>
              <w:bottom w:val="single" w:color="auto" w:sz="4" w:space="0"/>
              <w:right w:val="single" w:color="auto" w:sz="4" w:space="0"/>
            </w:tcBorders>
            <w:noWrap/>
            <w:vAlign w:val="center"/>
          </w:tcPr>
          <w:p/>
        </w:tc>
        <w:tc>
          <w:tcPr>
            <w:tcW w:w="588" w:type="dxa"/>
            <w:vMerge w:val="continue"/>
            <w:tcBorders>
              <w:top w:val="single" w:color="auto" w:sz="4" w:space="0"/>
              <w:left w:val="single" w:color="auto" w:sz="4" w:space="0"/>
              <w:bottom w:val="single" w:color="auto" w:sz="4" w:space="0"/>
              <w:right w:val="single" w:color="auto" w:sz="4" w:space="0"/>
            </w:tcBorders>
            <w:noWrap/>
            <w:vAlign w:val="center"/>
          </w:tcPr>
          <w:p/>
        </w:tc>
        <w:tc>
          <w:tcPr>
            <w:tcW w:w="1059" w:type="dxa"/>
            <w:gridSpan w:val="2"/>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项目效益</w:t>
            </w:r>
          </w:p>
        </w:tc>
        <w:tc>
          <w:tcPr>
            <w:tcW w:w="709" w:type="dxa"/>
            <w:vMerge w:val="restart"/>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24</w:t>
            </w: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经济效益</w:t>
            </w:r>
          </w:p>
        </w:tc>
        <w:tc>
          <w:tcPr>
            <w:tcW w:w="70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8</w:t>
            </w:r>
          </w:p>
        </w:tc>
        <w:tc>
          <w:tcPr>
            <w:tcW w:w="2977" w:type="dxa"/>
            <w:gridSpan w:val="4"/>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785"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eastAsia="仿宋_GB2312"/>
                <w:sz w:val="16"/>
                <w:lang w:val="en-US" w:eastAsia="zh-CN"/>
              </w:rPr>
            </w:pPr>
            <w:r>
              <w:rPr>
                <w:rFonts w:hint="eastAsia"/>
                <w:sz w:val="16"/>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tcBorders>
              <w:top w:val="single" w:color="auto" w:sz="4" w:space="0"/>
              <w:left w:val="single" w:color="auto" w:sz="4" w:space="0"/>
              <w:bottom w:val="single" w:color="auto" w:sz="4" w:space="0"/>
              <w:right w:val="single" w:color="auto" w:sz="4" w:space="0"/>
            </w:tcBorders>
            <w:noWrap/>
            <w:vAlign w:val="center"/>
          </w:tcPr>
          <w:p/>
        </w:tc>
        <w:tc>
          <w:tcPr>
            <w:tcW w:w="1089" w:type="dxa"/>
            <w:vMerge w:val="continue"/>
            <w:tcBorders>
              <w:top w:val="single" w:color="auto" w:sz="4" w:space="0"/>
              <w:left w:val="single" w:color="auto" w:sz="4" w:space="0"/>
              <w:bottom w:val="single" w:color="auto" w:sz="4" w:space="0"/>
              <w:right w:val="single" w:color="auto" w:sz="4" w:space="0"/>
            </w:tcBorders>
            <w:noWrap/>
            <w:vAlign w:val="center"/>
          </w:tcPr>
          <w:p/>
        </w:tc>
        <w:tc>
          <w:tcPr>
            <w:tcW w:w="588" w:type="dxa"/>
            <w:vMerge w:val="continue"/>
            <w:tcBorders>
              <w:top w:val="single" w:color="auto" w:sz="4" w:space="0"/>
              <w:left w:val="single" w:color="auto" w:sz="4" w:space="0"/>
              <w:bottom w:val="single" w:color="auto" w:sz="4" w:space="0"/>
              <w:right w:val="single" w:color="auto" w:sz="4" w:space="0"/>
            </w:tcBorders>
            <w:noWrap/>
            <w:vAlign w:val="center"/>
          </w:tcPr>
          <w:p/>
        </w:tc>
        <w:tc>
          <w:tcPr>
            <w:tcW w:w="1059" w:type="dxa"/>
            <w:gridSpan w:val="2"/>
            <w:vMerge w:val="continue"/>
            <w:tcBorders>
              <w:top w:val="single" w:color="auto" w:sz="4" w:space="0"/>
              <w:left w:val="single" w:color="auto" w:sz="4" w:space="0"/>
              <w:bottom w:val="single" w:color="auto" w:sz="4" w:space="0"/>
              <w:right w:val="single" w:color="auto" w:sz="4" w:space="0"/>
            </w:tcBorders>
            <w:noWrap/>
            <w:vAlign w:val="center"/>
          </w:tcPr>
          <w:p/>
        </w:tc>
        <w:tc>
          <w:tcPr>
            <w:tcW w:w="709" w:type="dxa"/>
            <w:vMerge w:val="continue"/>
            <w:tcBorders>
              <w:top w:val="single" w:color="auto" w:sz="4" w:space="0"/>
              <w:left w:val="single" w:color="auto" w:sz="4" w:space="0"/>
              <w:bottom w:val="single" w:color="auto" w:sz="4" w:space="0"/>
              <w:right w:val="single" w:color="auto" w:sz="4" w:space="0"/>
            </w:tcBorders>
            <w:noWrap/>
            <w:vAlign w:val="center"/>
          </w:tcP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社会效益</w:t>
            </w:r>
          </w:p>
        </w:tc>
        <w:tc>
          <w:tcPr>
            <w:tcW w:w="70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8</w:t>
            </w:r>
          </w:p>
        </w:tc>
        <w:tc>
          <w:tcPr>
            <w:tcW w:w="2977" w:type="dxa"/>
            <w:gridSpan w:val="4"/>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785"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eastAsia="仿宋_GB2312"/>
                <w:sz w:val="16"/>
                <w:lang w:eastAsia="zh-CN"/>
              </w:rPr>
            </w:pPr>
            <w:r>
              <w:rPr>
                <w:rFonts w:hint="eastAsia"/>
                <w:sz w:val="16"/>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tcBorders>
              <w:top w:val="single" w:color="auto" w:sz="4" w:space="0"/>
              <w:left w:val="single" w:color="auto" w:sz="4" w:space="0"/>
              <w:bottom w:val="single" w:color="auto" w:sz="4" w:space="0"/>
              <w:right w:val="single" w:color="auto" w:sz="4" w:space="0"/>
            </w:tcBorders>
            <w:noWrap/>
            <w:vAlign w:val="center"/>
          </w:tcPr>
          <w:p/>
        </w:tc>
        <w:tc>
          <w:tcPr>
            <w:tcW w:w="1089" w:type="dxa"/>
            <w:vMerge w:val="continue"/>
            <w:tcBorders>
              <w:top w:val="single" w:color="auto" w:sz="4" w:space="0"/>
              <w:left w:val="single" w:color="auto" w:sz="4" w:space="0"/>
              <w:bottom w:val="single" w:color="auto" w:sz="4" w:space="0"/>
              <w:right w:val="single" w:color="auto" w:sz="4" w:space="0"/>
            </w:tcBorders>
            <w:noWrap/>
            <w:vAlign w:val="center"/>
          </w:tcPr>
          <w:p/>
        </w:tc>
        <w:tc>
          <w:tcPr>
            <w:tcW w:w="588" w:type="dxa"/>
            <w:vMerge w:val="continue"/>
            <w:tcBorders>
              <w:top w:val="single" w:color="auto" w:sz="4" w:space="0"/>
              <w:left w:val="single" w:color="auto" w:sz="4" w:space="0"/>
              <w:bottom w:val="single" w:color="auto" w:sz="4" w:space="0"/>
              <w:right w:val="single" w:color="auto" w:sz="4" w:space="0"/>
            </w:tcBorders>
            <w:noWrap/>
            <w:vAlign w:val="center"/>
          </w:tcPr>
          <w:p/>
        </w:tc>
        <w:tc>
          <w:tcPr>
            <w:tcW w:w="1059" w:type="dxa"/>
            <w:gridSpan w:val="2"/>
            <w:vMerge w:val="continue"/>
            <w:tcBorders>
              <w:top w:val="single" w:color="auto" w:sz="4" w:space="0"/>
              <w:left w:val="single" w:color="auto" w:sz="4" w:space="0"/>
              <w:bottom w:val="single" w:color="auto" w:sz="4" w:space="0"/>
              <w:right w:val="single" w:color="auto" w:sz="4" w:space="0"/>
            </w:tcBorders>
            <w:noWrap/>
            <w:vAlign w:val="center"/>
          </w:tcPr>
          <w:p/>
        </w:tc>
        <w:tc>
          <w:tcPr>
            <w:tcW w:w="709" w:type="dxa"/>
            <w:vMerge w:val="continue"/>
            <w:tcBorders>
              <w:top w:val="single" w:color="auto" w:sz="4" w:space="0"/>
              <w:left w:val="single" w:color="auto" w:sz="4" w:space="0"/>
              <w:bottom w:val="single" w:color="auto" w:sz="4" w:space="0"/>
              <w:right w:val="single" w:color="auto" w:sz="4" w:space="0"/>
            </w:tcBorders>
            <w:noWrap/>
            <w:vAlign w:val="center"/>
          </w:tcP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生态效益</w:t>
            </w:r>
          </w:p>
        </w:tc>
        <w:tc>
          <w:tcPr>
            <w:tcW w:w="70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8</w:t>
            </w:r>
          </w:p>
        </w:tc>
        <w:tc>
          <w:tcPr>
            <w:tcW w:w="2977" w:type="dxa"/>
            <w:gridSpan w:val="4"/>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785"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eastAsia="宋体"/>
                <w:sz w:val="16"/>
                <w:lang w:eastAsia="zh-CN"/>
              </w:rPr>
            </w:pPr>
            <w:r>
              <w:rPr>
                <w:rFonts w:hint="eastAsia" w:eastAsia="宋体"/>
                <w:sz w:val="16"/>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376" w:type="dxa"/>
            <w:vMerge w:val="continue"/>
            <w:tcBorders>
              <w:top w:val="single" w:color="auto" w:sz="4" w:space="0"/>
              <w:left w:val="single" w:color="auto" w:sz="4" w:space="0"/>
              <w:bottom w:val="single" w:color="auto" w:sz="4" w:space="0"/>
              <w:right w:val="single" w:color="auto" w:sz="4" w:space="0"/>
            </w:tcBorders>
            <w:noWrap/>
            <w:vAlign w:val="center"/>
          </w:tcPr>
          <w:p/>
        </w:tc>
        <w:tc>
          <w:tcPr>
            <w:tcW w:w="108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项目预算执行率</w:t>
            </w:r>
          </w:p>
        </w:tc>
        <w:tc>
          <w:tcPr>
            <w:tcW w:w="588"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sz w:val="16"/>
              </w:rPr>
              <w:t>10</w:t>
            </w:r>
          </w:p>
        </w:tc>
        <w:tc>
          <w:tcPr>
            <w:tcW w:w="4036" w:type="dxa"/>
            <w:gridSpan w:val="6"/>
            <w:tcBorders>
              <w:top w:val="single" w:color="auto" w:sz="4" w:space="0"/>
              <w:left w:val="single" w:color="auto" w:sz="4" w:space="0"/>
              <w:bottom w:val="single" w:color="auto" w:sz="4" w:space="0"/>
              <w:right w:val="single" w:color="auto" w:sz="4" w:space="0"/>
            </w:tcBorders>
            <w:noWrap/>
            <w:vAlign w:val="center"/>
          </w:tcPr>
          <w:p>
            <w:pPr>
              <w:jc w:val="center"/>
              <w:rPr>
                <w:sz w:val="16"/>
              </w:rPr>
            </w:pPr>
          </w:p>
        </w:tc>
        <w:tc>
          <w:tcPr>
            <w:tcW w:w="3762" w:type="dxa"/>
            <w:gridSpan w:val="5"/>
            <w:tcBorders>
              <w:top w:val="single" w:color="auto" w:sz="4" w:space="0"/>
              <w:left w:val="single" w:color="auto" w:sz="4" w:space="0"/>
              <w:bottom w:val="single" w:color="auto" w:sz="4" w:space="0"/>
              <w:right w:val="single" w:color="auto" w:sz="4" w:space="0"/>
            </w:tcBorders>
            <w:noWrap/>
            <w:vAlign w:val="center"/>
          </w:tcPr>
          <w:p>
            <w:pPr>
              <w:jc w:val="center"/>
              <w:rPr>
                <w:rFonts w:hint="eastAsia" w:eastAsia="仿宋_GB2312"/>
                <w:sz w:val="16"/>
                <w:lang w:val="en-US" w:eastAsia="zh-CN"/>
              </w:rPr>
            </w:pPr>
            <w:r>
              <w:rPr>
                <w:rFonts w:hint="eastAsia"/>
                <w:sz w:val="16"/>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76" w:type="dxa"/>
            <w:vMerge w:val="continue"/>
            <w:tcBorders>
              <w:top w:val="single" w:color="auto" w:sz="4" w:space="0"/>
              <w:left w:val="single" w:color="auto" w:sz="4" w:space="0"/>
              <w:bottom w:val="single" w:color="auto" w:sz="4" w:space="0"/>
              <w:right w:val="single" w:color="auto" w:sz="4" w:space="0"/>
            </w:tcBorders>
            <w:noWrap/>
            <w:vAlign w:val="center"/>
          </w:tcPr>
          <w:p/>
        </w:tc>
        <w:tc>
          <w:tcPr>
            <w:tcW w:w="1089" w:type="dxa"/>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满意度指标</w:t>
            </w:r>
          </w:p>
        </w:tc>
        <w:tc>
          <w:tcPr>
            <w:tcW w:w="588" w:type="dxa"/>
            <w:tcBorders>
              <w:top w:val="single" w:color="auto" w:sz="4" w:space="0"/>
              <w:left w:val="single" w:color="auto" w:sz="4" w:space="0"/>
              <w:bottom w:val="single" w:color="auto" w:sz="4" w:space="0"/>
              <w:right w:val="single" w:color="auto" w:sz="4" w:space="0"/>
            </w:tcBorders>
            <w:noWrap/>
            <w:vAlign w:val="center"/>
          </w:tcPr>
          <w:p>
            <w:pPr>
              <w:jc w:val="center"/>
              <w:rPr>
                <w:rFonts w:hint="default" w:eastAsia="仿宋_GB2312"/>
                <w:sz w:val="16"/>
                <w:lang w:val="en-US" w:eastAsia="zh-CN"/>
              </w:rPr>
            </w:pPr>
            <w:r>
              <w:rPr>
                <w:rFonts w:hint="eastAsia"/>
                <w:sz w:val="16"/>
                <w:lang w:val="en-US" w:eastAsia="zh-CN"/>
              </w:rPr>
              <w:t>10</w:t>
            </w:r>
          </w:p>
        </w:tc>
        <w:tc>
          <w:tcPr>
            <w:tcW w:w="1059"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16"/>
              </w:rPr>
            </w:pPr>
            <w:r>
              <w:rPr>
                <w:rFonts w:hint="eastAsia"/>
                <w:sz w:val="16"/>
              </w:rPr>
              <w:t>服务对象满意度</w:t>
            </w:r>
          </w:p>
        </w:tc>
        <w:tc>
          <w:tcPr>
            <w:tcW w:w="709" w:type="dxa"/>
            <w:tcBorders>
              <w:top w:val="single" w:color="auto" w:sz="4" w:space="0"/>
              <w:left w:val="single" w:color="auto" w:sz="4" w:space="0"/>
              <w:bottom w:val="single" w:color="auto" w:sz="4" w:space="0"/>
              <w:right w:val="single" w:color="auto" w:sz="4" w:space="0"/>
            </w:tcBorders>
            <w:noWrap/>
            <w:vAlign w:val="center"/>
          </w:tcPr>
          <w:p>
            <w:pPr>
              <w:jc w:val="center"/>
              <w:rPr>
                <w:rFonts w:hint="default" w:eastAsia="仿宋_GB2312"/>
                <w:sz w:val="16"/>
                <w:lang w:val="en-US" w:eastAsia="zh-CN"/>
              </w:rPr>
            </w:pPr>
            <w:r>
              <w:rPr>
                <w:rFonts w:hint="eastAsia"/>
                <w:sz w:val="16"/>
                <w:lang w:val="en-US" w:eastAsia="zh-CN"/>
              </w:rPr>
              <w:t>10</w:t>
            </w:r>
          </w:p>
        </w:tc>
        <w:tc>
          <w:tcPr>
            <w:tcW w:w="2268"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hint="eastAsia" w:eastAsia="仿宋_GB2312"/>
                <w:sz w:val="16"/>
                <w:lang w:eastAsia="zh-CN"/>
              </w:rPr>
            </w:pPr>
            <w:r>
              <w:rPr>
                <w:rFonts w:hint="eastAsia"/>
                <w:sz w:val="16"/>
                <w:lang w:val="en-US" w:eastAsia="zh-CN"/>
              </w:rPr>
              <w:t>8</w:t>
            </w:r>
          </w:p>
        </w:tc>
        <w:tc>
          <w:tcPr>
            <w:tcW w:w="3762" w:type="dxa"/>
            <w:gridSpan w:val="5"/>
            <w:tcBorders>
              <w:top w:val="single" w:color="auto" w:sz="4" w:space="0"/>
              <w:left w:val="single" w:color="auto" w:sz="4" w:space="0"/>
              <w:bottom w:val="single" w:color="auto" w:sz="4" w:space="0"/>
              <w:right w:val="single" w:color="auto" w:sz="4" w:space="0"/>
            </w:tcBorders>
            <w:noWrap/>
            <w:vAlign w:val="center"/>
          </w:tcPr>
          <w:p>
            <w:pPr>
              <w:jc w:val="left"/>
              <w:rPr>
                <w:rFonts w:hint="default" w:eastAsia="仿宋_GB2312"/>
                <w:sz w:val="16"/>
                <w:lang w:val="en-US" w:eastAsia="zh-CN"/>
              </w:rPr>
            </w:pPr>
            <w:r>
              <w:rPr>
                <w:rFonts w:hint="eastAsia"/>
                <w:sz w:val="16"/>
              </w:rPr>
              <w:t>总分</w:t>
            </w:r>
            <w:r>
              <w:rPr>
                <w:rFonts w:hint="eastAsia"/>
                <w:sz w:val="16"/>
                <w:lang w:val="en-US" w:eastAsia="zh-CN"/>
              </w:rPr>
              <w:t>88</w:t>
            </w:r>
          </w:p>
        </w:tc>
      </w:tr>
    </w:tbl>
    <w:p>
      <w:pPr>
        <w:keepNext w:val="0"/>
        <w:keepLines w:val="0"/>
        <w:pageBreakBefore w:val="0"/>
        <w:widowControl/>
        <w:kinsoku/>
        <w:wordWrap/>
        <w:overflowPunct/>
        <w:topLinePunct w:val="0"/>
        <w:bidi w:val="0"/>
        <w:adjustRightInd w:val="0"/>
        <w:snapToGrid w:val="0"/>
        <w:spacing w:line="560" w:lineRule="exact"/>
        <w:jc w:val="left"/>
        <w:textAlignment w:val="auto"/>
        <w:rPr>
          <w:rFonts w:hint="eastAsia" w:ascii="楷体_GB2312" w:hAnsi="宋体" w:eastAsia="楷体_GB2312" w:cs="宋体"/>
          <w:color w:val="000000"/>
          <w:kern w:val="0"/>
          <w:sz w:val="32"/>
          <w:szCs w:val="32"/>
          <w:shd w:val="clear" w:color="auto" w:fill="FFFFFF"/>
          <w:lang w:val="zh-CN" w:eastAsia="zh-CN"/>
        </w:rPr>
      </w:pP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楷体_GB2312" w:hAnsi="宋体" w:eastAsia="楷体_GB2312" w:cs="宋体"/>
          <w:color w:val="000000"/>
          <w:kern w:val="0"/>
          <w:sz w:val="32"/>
          <w:szCs w:val="32"/>
          <w:shd w:val="clear" w:color="auto" w:fill="FFFFFF"/>
          <w:lang w:val="zh-CN" w:eastAsia="zh-CN"/>
        </w:rPr>
      </w:pPr>
      <w:r>
        <w:rPr>
          <w:rFonts w:hint="eastAsia" w:ascii="楷体_GB2312" w:hAnsi="宋体" w:eastAsia="楷体_GB2312" w:cs="宋体"/>
          <w:color w:val="000000"/>
          <w:kern w:val="0"/>
          <w:sz w:val="32"/>
          <w:szCs w:val="32"/>
          <w:shd w:val="clear" w:color="auto" w:fill="FFFFFF"/>
          <w:lang w:val="zh-CN" w:eastAsia="zh-CN"/>
        </w:rPr>
        <w:t>（二）存在的问题</w:t>
      </w:r>
    </w:p>
    <w:p>
      <w:pPr>
        <w:pStyle w:val="16"/>
        <w:widowControl/>
        <w:shd w:val="clear" w:color="auto" w:fill="FFFFFF"/>
        <w:spacing w:beforeAutospacing="0" w:afterAutospacing="0" w:line="585" w:lineRule="atLeast"/>
        <w:ind w:firstLine="640" w:firstLineChars="200"/>
        <w:jc w:val="both"/>
        <w:rPr>
          <w:rFonts w:ascii="仿宋_GB2312" w:eastAsia="仿宋_GB2312" w:cs="仿宋_GB2312"/>
          <w:color w:val="000000"/>
          <w:sz w:val="32"/>
          <w:szCs w:val="32"/>
        </w:rPr>
      </w:pPr>
      <w:r>
        <w:rPr>
          <w:rFonts w:ascii="仿宋_GB2312" w:eastAsia="仿宋_GB2312" w:cs="仿宋_GB2312"/>
          <w:color w:val="000000"/>
          <w:sz w:val="32"/>
          <w:szCs w:val="32"/>
          <w:shd w:val="clear" w:color="auto" w:fill="FFFFFF"/>
        </w:rPr>
        <w:t>一是近年来，随着日益增长的</w:t>
      </w:r>
      <w:r>
        <w:rPr>
          <w:rFonts w:hint="eastAsia" w:ascii="仿宋_GB2312" w:eastAsia="仿宋_GB2312" w:cs="仿宋_GB2312"/>
          <w:color w:val="000000"/>
          <w:sz w:val="32"/>
          <w:szCs w:val="32"/>
          <w:shd w:val="clear" w:color="auto" w:fill="FFFFFF"/>
        </w:rPr>
        <w:t>民生</w:t>
      </w:r>
      <w:r>
        <w:rPr>
          <w:rFonts w:ascii="仿宋_GB2312" w:eastAsia="仿宋_GB2312" w:cs="仿宋_GB2312"/>
          <w:color w:val="000000"/>
          <w:sz w:val="32"/>
          <w:szCs w:val="32"/>
          <w:shd w:val="clear" w:color="auto" w:fill="FFFFFF"/>
        </w:rPr>
        <w:t>档案查询需求，尤其是破产企业拟退休人员需在办理退休时提供</w:t>
      </w:r>
      <w:r>
        <w:rPr>
          <w:rFonts w:hint="eastAsia" w:ascii="仿宋_GB2312" w:eastAsia="仿宋_GB2312" w:cs="仿宋_GB2312"/>
          <w:color w:val="000000"/>
          <w:sz w:val="32"/>
          <w:szCs w:val="32"/>
          <w:shd w:val="clear" w:color="auto" w:fill="FFFFFF"/>
        </w:rPr>
        <w:t>近十年的</w:t>
      </w:r>
      <w:r>
        <w:rPr>
          <w:rFonts w:ascii="仿宋_GB2312" w:eastAsia="仿宋_GB2312" w:cs="仿宋_GB2312"/>
          <w:color w:val="000000"/>
          <w:sz w:val="32"/>
          <w:szCs w:val="32"/>
          <w:shd w:val="clear" w:color="auto" w:fill="FFFFFF"/>
        </w:rPr>
        <w:t>相关</w:t>
      </w:r>
      <w:r>
        <w:rPr>
          <w:rFonts w:hint="eastAsia" w:ascii="仿宋_GB2312" w:eastAsia="仿宋_GB2312" w:cs="仿宋_GB2312"/>
          <w:color w:val="000000"/>
          <w:sz w:val="32"/>
          <w:szCs w:val="32"/>
          <w:shd w:val="clear" w:color="auto" w:fill="FFFFFF"/>
        </w:rPr>
        <w:t>材料依据</w:t>
      </w:r>
      <w:r>
        <w:rPr>
          <w:rFonts w:ascii="仿宋_GB2312" w:eastAsia="仿宋_GB2312" w:cs="仿宋_GB2312"/>
          <w:color w:val="000000"/>
          <w:sz w:val="32"/>
          <w:szCs w:val="32"/>
          <w:shd w:val="clear" w:color="auto" w:fill="FFFFFF"/>
        </w:rPr>
        <w:t>，复印量在30页/人以上，现有经费难以满足实际</w:t>
      </w:r>
      <w:r>
        <w:rPr>
          <w:rFonts w:hint="eastAsia" w:ascii="仿宋_GB2312" w:eastAsia="仿宋_GB2312" w:cs="仿宋_GB2312"/>
          <w:color w:val="000000"/>
          <w:sz w:val="32"/>
          <w:szCs w:val="32"/>
          <w:shd w:val="clear" w:color="auto" w:fill="FFFFFF"/>
        </w:rPr>
        <w:t>查档</w:t>
      </w:r>
      <w:r>
        <w:rPr>
          <w:rFonts w:ascii="仿宋_GB2312" w:eastAsia="仿宋_GB2312" w:cs="仿宋_GB2312"/>
          <w:color w:val="000000"/>
          <w:sz w:val="32"/>
          <w:szCs w:val="32"/>
          <w:shd w:val="clear" w:color="auto" w:fill="FFFFFF"/>
        </w:rPr>
        <w:t>需要；二是</w:t>
      </w:r>
      <w:r>
        <w:rPr>
          <w:rFonts w:hint="eastAsia" w:ascii="仿宋_GB2312" w:eastAsia="仿宋_GB2312" w:cs="仿宋_GB2312"/>
          <w:color w:val="000000"/>
          <w:sz w:val="32"/>
          <w:szCs w:val="32"/>
          <w:shd w:val="clear" w:color="auto" w:fill="FFFFFF"/>
        </w:rPr>
        <w:t>设施</w:t>
      </w:r>
      <w:r>
        <w:rPr>
          <w:rFonts w:ascii="仿宋_GB2312" w:eastAsia="仿宋_GB2312" w:cs="仿宋_GB2312"/>
          <w:color w:val="000000"/>
          <w:sz w:val="32"/>
          <w:szCs w:val="32"/>
          <w:shd w:val="clear" w:color="auto" w:fill="FFFFFF"/>
        </w:rPr>
        <w:t>设备老化。</w:t>
      </w:r>
      <w:r>
        <w:rPr>
          <w:rFonts w:hint="eastAsia" w:ascii="仿宋_GB2312" w:eastAsia="仿宋_GB2312" w:cs="仿宋_GB2312"/>
          <w:color w:val="000000"/>
          <w:sz w:val="32"/>
          <w:szCs w:val="32"/>
          <w:shd w:val="clear" w:color="auto" w:fill="FFFFFF"/>
        </w:rPr>
        <w:t>保管利用</w:t>
      </w:r>
      <w:r>
        <w:rPr>
          <w:rFonts w:ascii="仿宋_GB2312" w:eastAsia="仿宋_GB2312" w:cs="仿宋_GB2312"/>
          <w:color w:val="000000"/>
          <w:sz w:val="32"/>
          <w:szCs w:val="32"/>
          <w:shd w:val="clear" w:color="auto" w:fill="FFFFFF"/>
        </w:rPr>
        <w:t>科仅有复印一体机一台，</w:t>
      </w:r>
      <w:r>
        <w:rPr>
          <w:rFonts w:hint="eastAsia" w:ascii="仿宋_GB2312" w:eastAsia="仿宋_GB2312" w:cs="仿宋_GB2312"/>
          <w:color w:val="000000"/>
          <w:sz w:val="32"/>
          <w:szCs w:val="32"/>
          <w:shd w:val="clear" w:color="auto" w:fill="FFFFFF"/>
        </w:rPr>
        <w:t>且</w:t>
      </w:r>
      <w:r>
        <w:rPr>
          <w:rFonts w:ascii="仿宋_GB2312" w:eastAsia="仿宋_GB2312" w:cs="仿宋_GB2312"/>
          <w:color w:val="000000"/>
          <w:sz w:val="32"/>
          <w:szCs w:val="32"/>
          <w:shd w:val="clear" w:color="auto" w:fill="FFFFFF"/>
        </w:rPr>
        <w:t>日复印量超过150张，</w:t>
      </w:r>
      <w:r>
        <w:rPr>
          <w:rFonts w:hint="eastAsia" w:ascii="仿宋_GB2312" w:eastAsia="仿宋_GB2312" w:cs="仿宋_GB2312"/>
          <w:color w:val="000000"/>
          <w:sz w:val="32"/>
          <w:szCs w:val="32"/>
          <w:shd w:val="clear" w:color="auto" w:fill="FFFFFF"/>
        </w:rPr>
        <w:t>现有的设施设备无法满足</w:t>
      </w:r>
      <w:r>
        <w:rPr>
          <w:rFonts w:ascii="仿宋_GB2312" w:eastAsia="仿宋_GB2312" w:cs="仿宋_GB2312"/>
          <w:color w:val="000000"/>
          <w:sz w:val="32"/>
          <w:szCs w:val="32"/>
          <w:shd w:val="clear" w:color="auto" w:fill="FFFFFF"/>
        </w:rPr>
        <w:t>工作</w:t>
      </w:r>
      <w:r>
        <w:rPr>
          <w:rFonts w:hint="eastAsia" w:ascii="仿宋_GB2312" w:eastAsia="仿宋_GB2312" w:cs="仿宋_GB2312"/>
          <w:color w:val="000000"/>
          <w:sz w:val="32"/>
          <w:szCs w:val="32"/>
          <w:shd w:val="clear" w:color="auto" w:fill="FFFFFF"/>
        </w:rPr>
        <w:t>需要，从而降低了工作效率</w:t>
      </w:r>
      <w:r>
        <w:rPr>
          <w:rFonts w:ascii="仿宋_GB2312" w:eastAsia="仿宋_GB2312" w:cs="仿宋_GB2312"/>
          <w:color w:val="000000"/>
          <w:sz w:val="32"/>
          <w:szCs w:val="32"/>
          <w:shd w:val="clear" w:color="auto" w:fill="FFFFFF"/>
        </w:rPr>
        <w:t>。</w:t>
      </w:r>
    </w:p>
    <w:p>
      <w:pPr>
        <w:pStyle w:val="16"/>
        <w:widowControl/>
        <w:shd w:val="clear" w:color="auto" w:fill="FFFFFF"/>
        <w:spacing w:beforeAutospacing="0" w:afterAutospacing="0" w:line="585" w:lineRule="atLeast"/>
        <w:ind w:firstLine="645"/>
        <w:jc w:val="both"/>
        <w:rPr>
          <w:rFonts w:hint="eastAsia" w:ascii="楷体_GB2312" w:hAnsi="宋体" w:eastAsia="楷体_GB2312" w:cs="宋体"/>
          <w:color w:val="000000"/>
          <w:kern w:val="0"/>
          <w:sz w:val="32"/>
          <w:szCs w:val="32"/>
          <w:shd w:val="clear" w:color="auto" w:fill="FFFFFF"/>
          <w:lang w:val="zh-CN" w:eastAsia="zh-CN" w:bidi="ar-SA"/>
        </w:rPr>
      </w:pPr>
      <w:r>
        <w:rPr>
          <w:rFonts w:hint="eastAsia" w:ascii="楷体_GB2312" w:hAnsi="宋体" w:eastAsia="楷体_GB2312" w:cs="宋体"/>
          <w:color w:val="000000"/>
          <w:kern w:val="0"/>
          <w:sz w:val="32"/>
          <w:szCs w:val="32"/>
          <w:shd w:val="clear" w:color="auto" w:fill="FFFFFF"/>
          <w:lang w:val="zh-CN" w:eastAsia="zh-CN" w:bidi="ar-SA"/>
        </w:rPr>
        <w:t>（三）建议和改进措施</w:t>
      </w:r>
    </w:p>
    <w:p>
      <w:pPr>
        <w:widowControl/>
        <w:wordWrap w:val="0"/>
        <w:spacing w:line="578" w:lineRule="atLeast"/>
        <w:ind w:firstLine="640" w:firstLineChars="200"/>
        <w:jc w:val="left"/>
        <w:rPr>
          <w:rFonts w:ascii="仿宋_GB2312" w:hAnsi="Times New Roman" w:eastAsia="仿宋_GB2312" w:cs="仿宋_GB2312"/>
          <w:color w:val="000000"/>
          <w:kern w:val="0"/>
          <w:sz w:val="32"/>
          <w:szCs w:val="32"/>
          <w:shd w:val="clear" w:color="auto" w:fill="FFFFFF"/>
          <w:lang w:val="en-US" w:eastAsia="zh-CN" w:bidi="ar"/>
        </w:rPr>
      </w:pPr>
      <w:r>
        <w:rPr>
          <w:rFonts w:ascii="仿宋_GB2312" w:hAnsi="Times New Roman" w:eastAsia="仿宋_GB2312" w:cs="仿宋_GB2312"/>
          <w:color w:val="000000"/>
          <w:kern w:val="0"/>
          <w:sz w:val="32"/>
          <w:szCs w:val="32"/>
          <w:shd w:val="clear" w:color="auto" w:fill="FFFFFF"/>
          <w:lang w:val="en-US" w:eastAsia="zh-CN" w:bidi="ar"/>
        </w:rPr>
        <w:t>为进一步</w:t>
      </w:r>
      <w:r>
        <w:rPr>
          <w:rFonts w:hint="eastAsia" w:ascii="仿宋_GB2312" w:hAnsi="Times New Roman" w:eastAsia="仿宋_GB2312" w:cs="仿宋_GB2312"/>
          <w:color w:val="000000"/>
          <w:kern w:val="0"/>
          <w:sz w:val="32"/>
          <w:szCs w:val="32"/>
          <w:shd w:val="clear" w:color="auto" w:fill="FFFFFF"/>
          <w:lang w:val="en-US" w:eastAsia="zh-CN" w:bidi="ar"/>
        </w:rPr>
        <w:t>夯实</w:t>
      </w:r>
      <w:r>
        <w:rPr>
          <w:rFonts w:ascii="仿宋_GB2312" w:hAnsi="Times New Roman" w:eastAsia="仿宋_GB2312" w:cs="仿宋_GB2312"/>
          <w:color w:val="000000"/>
          <w:kern w:val="0"/>
          <w:sz w:val="32"/>
          <w:szCs w:val="32"/>
          <w:shd w:val="clear" w:color="auto" w:fill="FFFFFF"/>
          <w:lang w:val="en-US" w:eastAsia="zh-CN" w:bidi="ar"/>
        </w:rPr>
        <w:t>“为民服务”</w:t>
      </w:r>
      <w:r>
        <w:rPr>
          <w:rFonts w:hint="eastAsia" w:ascii="仿宋_GB2312" w:hAnsi="Times New Roman" w:eastAsia="仿宋_GB2312" w:cs="仿宋_GB2312"/>
          <w:color w:val="000000"/>
          <w:kern w:val="0"/>
          <w:sz w:val="32"/>
          <w:szCs w:val="32"/>
          <w:shd w:val="clear" w:color="auto" w:fill="FFFFFF"/>
          <w:lang w:val="en-US" w:eastAsia="zh-CN" w:bidi="ar"/>
        </w:rPr>
        <w:t>这一宗旨</w:t>
      </w:r>
      <w:r>
        <w:rPr>
          <w:rFonts w:ascii="仿宋_GB2312" w:hAnsi="Times New Roman" w:eastAsia="仿宋_GB2312" w:cs="仿宋_GB2312"/>
          <w:color w:val="000000"/>
          <w:kern w:val="0"/>
          <w:sz w:val="32"/>
          <w:szCs w:val="32"/>
          <w:shd w:val="clear" w:color="auto" w:fill="FFFFFF"/>
          <w:lang w:val="en-US" w:eastAsia="zh-CN" w:bidi="ar"/>
        </w:rPr>
        <w:t>，</w:t>
      </w:r>
      <w:r>
        <w:rPr>
          <w:rFonts w:hint="eastAsia" w:ascii="仿宋_GB2312" w:hAnsi="Times New Roman" w:eastAsia="仿宋_GB2312" w:cs="仿宋_GB2312"/>
          <w:color w:val="000000"/>
          <w:kern w:val="0"/>
          <w:sz w:val="32"/>
          <w:szCs w:val="32"/>
          <w:shd w:val="clear" w:color="auto" w:fill="FFFFFF"/>
          <w:lang w:val="en-US" w:eastAsia="zh-CN" w:bidi="ar"/>
        </w:rPr>
        <w:t>为</w:t>
      </w:r>
      <w:r>
        <w:rPr>
          <w:rFonts w:ascii="仿宋_GB2312" w:hAnsi="Times New Roman" w:eastAsia="仿宋_GB2312" w:cs="仿宋_GB2312"/>
          <w:color w:val="000000"/>
          <w:kern w:val="0"/>
          <w:sz w:val="32"/>
          <w:szCs w:val="32"/>
          <w:shd w:val="clear" w:color="auto" w:fill="FFFFFF"/>
          <w:lang w:val="en-US" w:eastAsia="zh-CN" w:bidi="ar"/>
        </w:rPr>
        <w:t>更好的满足</w:t>
      </w:r>
      <w:r>
        <w:rPr>
          <w:rFonts w:hint="eastAsia" w:ascii="仿宋_GB2312" w:hAnsi="Times New Roman" w:eastAsia="仿宋_GB2312" w:cs="仿宋_GB2312"/>
          <w:color w:val="000000"/>
          <w:kern w:val="0"/>
          <w:sz w:val="32"/>
          <w:szCs w:val="32"/>
          <w:shd w:val="clear" w:color="auto" w:fill="FFFFFF"/>
          <w:lang w:val="en-US" w:eastAsia="zh-CN" w:bidi="ar"/>
        </w:rPr>
        <w:t>人民</w:t>
      </w:r>
      <w:r>
        <w:rPr>
          <w:rFonts w:ascii="仿宋_GB2312" w:hAnsi="Times New Roman" w:eastAsia="仿宋_GB2312" w:cs="仿宋_GB2312"/>
          <w:color w:val="000000"/>
          <w:kern w:val="0"/>
          <w:sz w:val="32"/>
          <w:szCs w:val="32"/>
          <w:shd w:val="clear" w:color="auto" w:fill="FFFFFF"/>
          <w:lang w:val="en-US" w:eastAsia="zh-CN" w:bidi="ar"/>
        </w:rPr>
        <w:t>群众</w:t>
      </w:r>
      <w:r>
        <w:rPr>
          <w:rFonts w:hint="eastAsia" w:ascii="仿宋_GB2312" w:hAnsi="Times New Roman" w:eastAsia="仿宋_GB2312" w:cs="仿宋_GB2312"/>
          <w:color w:val="000000"/>
          <w:kern w:val="0"/>
          <w:sz w:val="32"/>
          <w:szCs w:val="32"/>
          <w:shd w:val="clear" w:color="auto" w:fill="FFFFFF"/>
          <w:lang w:val="en-US" w:eastAsia="zh-CN" w:bidi="ar"/>
        </w:rPr>
        <w:t>对民生</w:t>
      </w:r>
      <w:r>
        <w:rPr>
          <w:rFonts w:ascii="仿宋_GB2312" w:hAnsi="Times New Roman" w:eastAsia="仿宋_GB2312" w:cs="仿宋_GB2312"/>
          <w:color w:val="000000"/>
          <w:kern w:val="0"/>
          <w:sz w:val="32"/>
          <w:szCs w:val="32"/>
          <w:shd w:val="clear" w:color="auto" w:fill="FFFFFF"/>
          <w:lang w:val="en-US" w:eastAsia="zh-CN" w:bidi="ar"/>
        </w:rPr>
        <w:t>档案</w:t>
      </w:r>
      <w:r>
        <w:rPr>
          <w:rFonts w:hint="eastAsia" w:ascii="仿宋_GB2312" w:hAnsi="Times New Roman" w:eastAsia="仿宋_GB2312" w:cs="仿宋_GB2312"/>
          <w:color w:val="000000"/>
          <w:kern w:val="0"/>
          <w:sz w:val="32"/>
          <w:szCs w:val="32"/>
          <w:shd w:val="clear" w:color="auto" w:fill="FFFFFF"/>
          <w:lang w:val="en-US" w:eastAsia="zh-CN" w:bidi="ar"/>
        </w:rPr>
        <w:t>的</w:t>
      </w:r>
      <w:r>
        <w:rPr>
          <w:rFonts w:ascii="仿宋_GB2312" w:hAnsi="Times New Roman" w:eastAsia="仿宋_GB2312" w:cs="仿宋_GB2312"/>
          <w:color w:val="000000"/>
          <w:kern w:val="0"/>
          <w:sz w:val="32"/>
          <w:szCs w:val="32"/>
          <w:shd w:val="clear" w:color="auto" w:fill="FFFFFF"/>
          <w:lang w:val="en-US" w:eastAsia="zh-CN" w:bidi="ar"/>
        </w:rPr>
        <w:t>查阅需求，建议增加</w:t>
      </w:r>
      <w:r>
        <w:rPr>
          <w:rFonts w:hint="eastAsia" w:ascii="仿宋_GB2312" w:hAnsi="Times New Roman" w:eastAsia="仿宋_GB2312" w:cs="仿宋_GB2312"/>
          <w:color w:val="000000"/>
          <w:kern w:val="0"/>
          <w:sz w:val="32"/>
          <w:szCs w:val="32"/>
          <w:shd w:val="clear" w:color="auto" w:fill="FFFFFF"/>
          <w:lang w:val="en-US" w:eastAsia="zh-CN" w:bidi="ar"/>
        </w:rPr>
        <w:t>查阅利用专项经费及设施设备配置经费。  </w:t>
      </w:r>
    </w:p>
    <w:p>
      <w:pPr>
        <w:rPr>
          <w:rFonts w:ascii="仿宋_GB2312" w:cs="仿宋_GB2312"/>
          <w:color w:val="000000"/>
        </w:rPr>
      </w:pPr>
    </w:p>
    <w:p>
      <w:pPr>
        <w:ind w:firstLine="420" w:firstLineChars="200"/>
        <w:rPr>
          <w:rFonts w:hint="eastAsia"/>
          <w:lang w:val="en-US" w:eastAsia="zh-CN"/>
        </w:rPr>
      </w:pPr>
      <w:r>
        <w:rPr>
          <w:rFonts w:hint="eastAsia"/>
          <w:lang w:val="en-US" w:eastAsia="zh-CN"/>
        </w:rPr>
        <w:t xml:space="preserve">                              </w:t>
      </w:r>
    </w:p>
    <w:p>
      <w:pPr>
        <w:ind w:firstLine="420" w:firstLineChars="200"/>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小标宋简体" w:hAnsi="Times New Roman" w:eastAsia="方正小标宋简体" w:cs="Times New Roman"/>
          <w:color w:val="auto"/>
          <w:kern w:val="0"/>
          <w:sz w:val="40"/>
          <w:szCs w:val="44"/>
          <w:lang w:val="en-US" w:eastAsia="zh-CN" w:bidi="ar-SA"/>
        </w:rPr>
      </w:pPr>
      <w:r>
        <w:rPr>
          <w:rFonts w:hint="eastAsia" w:ascii="仿宋_GB2312" w:hAnsi="仿宋_GB2312" w:eastAsia="仿宋_GB2312" w:cs="仿宋_GB2312"/>
          <w:b w:val="0"/>
          <w:bCs w:val="0"/>
          <w:sz w:val="32"/>
          <w:szCs w:val="32"/>
          <w:lang w:val="en-US" w:eastAsia="zh-CN"/>
        </w:rPr>
        <w:t>附件</w:t>
      </w:r>
    </w:p>
    <w:p>
      <w:pPr>
        <w:snapToGrid w:val="0"/>
        <w:spacing w:line="600" w:lineRule="exact"/>
        <w:jc w:val="center"/>
        <w:rPr>
          <w:rFonts w:hint="eastAsia" w:ascii="方正小标宋简体" w:hAnsi="Times New Roman" w:eastAsia="方正小标宋简体" w:cs="Times New Roman"/>
          <w:color w:val="auto"/>
          <w:kern w:val="0"/>
          <w:sz w:val="40"/>
          <w:szCs w:val="44"/>
          <w:lang w:val="en-US" w:eastAsia="zh-CN" w:bidi="ar-SA"/>
        </w:rPr>
      </w:pPr>
      <w:r>
        <w:rPr>
          <w:rFonts w:hint="eastAsia" w:ascii="方正小标宋简体" w:hAnsi="Times New Roman" w:eastAsia="方正小标宋简体" w:cs="Times New Roman"/>
          <w:color w:val="auto"/>
          <w:kern w:val="0"/>
          <w:sz w:val="40"/>
          <w:szCs w:val="44"/>
          <w:lang w:val="en-US" w:eastAsia="zh-CN" w:bidi="ar-SA"/>
        </w:rPr>
        <w:t>阿坝州档案馆</w:t>
      </w:r>
    </w:p>
    <w:p>
      <w:pPr>
        <w:snapToGrid w:val="0"/>
        <w:spacing w:line="600" w:lineRule="exact"/>
        <w:jc w:val="center"/>
        <w:rPr>
          <w:rFonts w:hint="eastAsia" w:ascii="方正小标宋简体" w:hAnsi="Times New Roman" w:eastAsia="方正小标宋简体" w:cs="Times New Roman"/>
          <w:color w:val="auto"/>
          <w:kern w:val="0"/>
          <w:sz w:val="40"/>
          <w:szCs w:val="44"/>
          <w:lang w:val="en-US" w:eastAsia="zh-CN" w:bidi="ar-SA"/>
        </w:rPr>
      </w:pPr>
      <w:r>
        <w:rPr>
          <w:rFonts w:hint="eastAsia" w:ascii="方正小标宋简体" w:hAnsi="Times New Roman" w:eastAsia="方正小标宋简体" w:cs="Times New Roman"/>
          <w:color w:val="auto"/>
          <w:kern w:val="0"/>
          <w:sz w:val="40"/>
          <w:szCs w:val="44"/>
          <w:lang w:val="en-US" w:eastAsia="zh-CN" w:bidi="ar-SA"/>
        </w:rPr>
        <w:t>档案征集项目支出绩效自评报告</w:t>
      </w:r>
    </w:p>
    <w:p>
      <w:pPr>
        <w:pStyle w:val="17"/>
      </w:pP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right="0" w:firstLine="642" w:firstLineChars="200"/>
        <w:jc w:val="both"/>
        <w:rPr>
          <w:rFonts w:ascii="黑体" w:hAnsi="宋体" w:eastAsia="黑体" w:cs="黑体"/>
          <w:b/>
          <w:bCs/>
          <w:i w:val="0"/>
          <w:iCs w:val="0"/>
          <w:caps w:val="0"/>
          <w:color w:val="000000" w:themeColor="text1"/>
          <w:spacing w:val="0"/>
          <w:sz w:val="32"/>
          <w:szCs w:val="32"/>
          <w:shd w:val="clear" w:fill="FFFFFF"/>
          <w14:textFill>
            <w14:solidFill>
              <w14:schemeClr w14:val="tx1"/>
            </w14:solidFill>
          </w14:textFill>
        </w:rPr>
      </w:pPr>
      <w:r>
        <w:rPr>
          <w:rFonts w:hint="eastAsia" w:ascii="黑体" w:hAnsi="宋体" w:eastAsia="黑体" w:cs="黑体"/>
          <w:b/>
          <w:bCs/>
          <w:i w:val="0"/>
          <w:iCs w:val="0"/>
          <w:caps w:val="0"/>
          <w:color w:val="000000" w:themeColor="text1"/>
          <w:spacing w:val="0"/>
          <w:sz w:val="32"/>
          <w:szCs w:val="32"/>
          <w:shd w:val="clear" w:fill="FFFFFF"/>
          <w:lang w:val="en-US" w:eastAsia="zh-CN"/>
          <w14:textFill>
            <w14:solidFill>
              <w14:schemeClr w14:val="tx1"/>
            </w14:solidFill>
          </w14:textFill>
        </w:rPr>
        <w:t>一、项目概况</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left="0" w:right="0" w:firstLine="640" w:firstLineChars="200"/>
        <w:jc w:val="left"/>
        <w:rPr>
          <w:rFonts w:hint="eastAsia" w:ascii="楷体_GB2312" w:hAnsi="宋体" w:eastAsia="楷体_GB2312" w:cs="宋体"/>
          <w:color w:val="000000"/>
          <w:kern w:val="0"/>
          <w:sz w:val="32"/>
          <w:szCs w:val="32"/>
          <w:shd w:val="clear" w:color="auto" w:fill="FFFFFF"/>
          <w:lang w:val="en-US" w:eastAsia="zh-CN" w:bidi="ar-SA"/>
        </w:rPr>
      </w:pPr>
      <w:r>
        <w:rPr>
          <w:rFonts w:hint="eastAsia" w:ascii="楷体_GB2312" w:hAnsi="宋体" w:eastAsia="楷体_GB2312" w:cs="宋体"/>
          <w:color w:val="000000"/>
          <w:kern w:val="0"/>
          <w:sz w:val="32"/>
          <w:szCs w:val="32"/>
          <w:shd w:val="clear" w:color="auto" w:fill="FFFFFF"/>
          <w:lang w:val="en-US" w:eastAsia="zh-CN" w:bidi="ar-SA"/>
        </w:rPr>
        <w:t>（一）项目单位基本情况</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阿坝州</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档案</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馆</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是</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档案征集</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项目的实施部门，将档案征集纳入</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州</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财政预算，根据</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州</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档案馆现有馆藏结构情况，把征集</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实物</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档案作为丰富档案馆藏的有效补充方式。</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2021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年，我</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馆</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严格执行相关管理制度，保证</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了档案征集</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项目的顺利实施，取得明显效果。</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eastAsia" w:ascii="楷体_GB2312" w:hAnsi="宋体" w:eastAsia="楷体_GB2312" w:cs="宋体"/>
          <w:color w:val="000000"/>
          <w:kern w:val="0"/>
          <w:sz w:val="32"/>
          <w:szCs w:val="32"/>
          <w:shd w:val="clear" w:color="auto" w:fill="FFFFFF"/>
          <w:lang w:val="en-US" w:eastAsia="zh-CN" w:bidi="ar-SA"/>
        </w:rPr>
      </w:pPr>
      <w:r>
        <w:rPr>
          <w:rFonts w:hint="eastAsia" w:ascii="楷体_GB2312" w:hAnsi="宋体" w:eastAsia="楷体_GB2312" w:cs="宋体"/>
          <w:color w:val="000000"/>
          <w:kern w:val="0"/>
          <w:sz w:val="32"/>
          <w:szCs w:val="32"/>
          <w:shd w:val="clear" w:color="auto" w:fill="FFFFFF"/>
          <w:lang w:val="en-US" w:eastAsia="zh-CN" w:bidi="ar-SA"/>
        </w:rPr>
        <w:t>（二）项目立项背景及目的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right="0" w:firstLine="640" w:firstLineChars="200"/>
        <w:jc w:val="left"/>
        <w:rPr>
          <w:rFonts w:hint="eastAsia" w:ascii="仿宋_GB2312" w:hAnsi="仿宋_GB2312" w:eastAsia="仿宋_GB2312" w:cs="仿宋_GB2312"/>
          <w:b w:val="0"/>
          <w:bCs w:val="0"/>
          <w:i w:val="0"/>
          <w:iCs w:val="0"/>
          <w:caps w:val="0"/>
          <w:color w:val="000000" w:themeColor="text1"/>
          <w:spacing w:val="0"/>
          <w:kern w:val="0"/>
          <w:sz w:val="32"/>
          <w:szCs w:val="32"/>
          <w:u w:val="none"/>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kern w:val="0"/>
          <w:sz w:val="32"/>
          <w:szCs w:val="32"/>
          <w:u w:val="none"/>
          <w:shd w:val="clear" w:fill="FFFFFF"/>
          <w:lang w:val="en-US" w:eastAsia="zh-CN" w:bidi="ar"/>
          <w14:textFill>
            <w14:solidFill>
              <w14:schemeClr w14:val="tx1"/>
            </w14:solidFill>
          </w14:textFill>
        </w:rPr>
        <w:t>根据2021年1月1日起施行的《中华人民共和国档案法》第三章</w:t>
      </w:r>
      <w:r>
        <w:rPr>
          <w:rFonts w:hint="eastAsia" w:ascii="仿宋_GB2312" w:hAnsi="仿宋_GB2312" w:eastAsia="仿宋_GB2312" w:cs="仿宋_GB2312"/>
          <w:i w:val="0"/>
          <w:iCs w:val="0"/>
          <w:caps w:val="0"/>
          <w:color w:val="000000"/>
          <w:spacing w:val="0"/>
          <w:sz w:val="32"/>
          <w:szCs w:val="32"/>
          <w:shd w:val="clear" w:fill="FFFFFF"/>
        </w:rPr>
        <w:t> 第十七条 </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rPr>
        <w:t>档案馆除按照国家有关规定接收移交的档案外，还可以通过接受捐献、购买、代存等方式收集档案</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的要求开展</w:t>
      </w:r>
      <w:r>
        <w:rPr>
          <w:rFonts w:hint="default" w:ascii="仿宋_GB2312" w:hAnsi="仿宋_GB2312" w:eastAsia="仿宋_GB2312" w:cs="仿宋_GB2312"/>
          <w:i w:val="0"/>
          <w:iCs w:val="0"/>
          <w:caps w:val="0"/>
          <w:color w:val="000000"/>
          <w:spacing w:val="0"/>
          <w:sz w:val="32"/>
          <w:szCs w:val="32"/>
          <w:shd w:val="clear" w:fill="FFFFFF"/>
          <w:lang w:eastAsia="zh-CN"/>
        </w:rPr>
        <w:t>此项工作</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b w:val="0"/>
          <w:bCs w:val="0"/>
          <w:i w:val="0"/>
          <w:iCs w:val="0"/>
          <w:caps w:val="0"/>
          <w:color w:val="000000" w:themeColor="text1"/>
          <w:spacing w:val="0"/>
          <w:kern w:val="0"/>
          <w:sz w:val="32"/>
          <w:szCs w:val="32"/>
          <w:u w:val="none"/>
          <w:shd w:val="clear" w:fill="FFFFFF"/>
          <w:lang w:val="en-US" w:eastAsia="zh-CN" w:bidi="ar"/>
          <w14:textFill>
            <w14:solidFill>
              <w14:schemeClr w14:val="tx1"/>
            </w14:solidFill>
          </w14:textFill>
        </w:rPr>
        <w:t>征集档案项目主要是为了优化馆藏结构，丰富馆藏，加强收集和保护与阿坝州相关历史资料,开展民间档案资料的征集而设计。</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left="0" w:right="0" w:firstLine="640" w:firstLineChars="200"/>
        <w:jc w:val="left"/>
        <w:rPr>
          <w:rFonts w:hint="eastAsia" w:ascii="楷体_GB2312" w:hAnsi="宋体" w:eastAsia="楷体_GB2312" w:cs="宋体"/>
          <w:color w:val="000000"/>
          <w:kern w:val="0"/>
          <w:sz w:val="32"/>
          <w:szCs w:val="32"/>
          <w:shd w:val="clear" w:color="auto" w:fill="FFFFFF"/>
          <w:lang w:val="en-US" w:eastAsia="zh-CN" w:bidi="ar-SA"/>
        </w:rPr>
      </w:pPr>
      <w:r>
        <w:rPr>
          <w:rFonts w:hint="eastAsia" w:ascii="楷体_GB2312" w:hAnsi="宋体" w:eastAsia="楷体_GB2312" w:cs="宋体"/>
          <w:color w:val="000000"/>
          <w:kern w:val="0"/>
          <w:sz w:val="32"/>
          <w:szCs w:val="32"/>
          <w:shd w:val="clear" w:color="auto" w:fill="FFFFFF"/>
          <w:lang w:val="en-US" w:eastAsia="zh-CN" w:bidi="ar-SA"/>
        </w:rPr>
        <w:t>（三）项目资金使用及管理情况</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right="0" w:rightChars="0" w:firstLine="640" w:firstLineChars="200"/>
        <w:jc w:val="left"/>
        <w:rPr>
          <w:rFonts w:hint="eastAsia" w:ascii="仿宋_GB2312" w:hAnsi="仿宋_GB2312" w:eastAsia="仿宋_GB2312" w:cs="仿宋_GB2312"/>
          <w:b w:val="0"/>
          <w:bCs w:val="0"/>
          <w:i w:val="0"/>
          <w:iCs w:val="0"/>
          <w:caps w:val="0"/>
          <w:color w:val="000000" w:themeColor="text1"/>
          <w:spacing w:val="0"/>
          <w:kern w:val="0"/>
          <w:sz w:val="32"/>
          <w:szCs w:val="32"/>
          <w:u w:val="none"/>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kern w:val="0"/>
          <w:sz w:val="32"/>
          <w:szCs w:val="32"/>
          <w:u w:val="none"/>
          <w:shd w:val="clear" w:fill="FFFFFF"/>
          <w:lang w:val="en-US" w:eastAsia="zh-CN" w:bidi="ar"/>
          <w14:textFill>
            <w14:solidFill>
              <w14:schemeClr w14:val="tx1"/>
            </w14:solidFill>
          </w14:textFill>
        </w:rPr>
        <w:t>1、项目资金到位情况</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right="0" w:rightChars="0" w:firstLine="640" w:firstLineChars="200"/>
        <w:jc w:val="left"/>
        <w:rPr>
          <w:rFonts w:hint="eastAsia" w:ascii="仿宋_GB2312" w:hAnsi="仿宋_GB2312" w:eastAsia="仿宋_GB2312" w:cs="仿宋_GB2312"/>
          <w:b w:val="0"/>
          <w:bCs w:val="0"/>
          <w:color w:val="000000" w:themeColor="text1"/>
          <w:sz w:val="32"/>
          <w:szCs w:val="32"/>
          <w:u w:val="none"/>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kern w:val="0"/>
          <w:sz w:val="32"/>
          <w:szCs w:val="32"/>
          <w:u w:val="none"/>
          <w:shd w:val="clear" w:fill="FFFFFF"/>
          <w:lang w:val="en-US" w:eastAsia="zh-CN" w:bidi="ar"/>
          <w14:textFill>
            <w14:solidFill>
              <w14:schemeClr w14:val="tx1"/>
            </w14:solidFill>
          </w14:textFill>
        </w:rPr>
        <w:t>本项目每年30万元全部为州财政拨款，到位及时。</w:t>
      </w:r>
    </w:p>
    <w:p>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right="0" w:rightChars="0" w:firstLine="642" w:firstLineChars="200"/>
        <w:jc w:val="both"/>
        <w:rPr>
          <w:rFonts w:hint="eastAsia" w:ascii="仿宋_GB2312" w:hAnsi="仿宋_GB2312" w:eastAsia="仿宋_GB2312" w:cs="仿宋_GB2312"/>
          <w:b/>
          <w:bCs/>
          <w:i w:val="0"/>
          <w:iCs w:val="0"/>
          <w:caps w:val="0"/>
          <w:color w:val="000000" w:themeColor="text1"/>
          <w:spacing w:val="0"/>
          <w:kern w:val="0"/>
          <w:sz w:val="32"/>
          <w:szCs w:val="32"/>
          <w:u w:val="none"/>
          <w:shd w:val="clear" w:fill="FFFFFF"/>
          <w:lang w:val="en-US" w:eastAsia="zh-CN" w:bidi="ar"/>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kern w:val="0"/>
          <w:sz w:val="32"/>
          <w:szCs w:val="32"/>
          <w:u w:val="none"/>
          <w:shd w:val="clear" w:fill="FFFFFF"/>
          <w:lang w:val="en-US" w:eastAsia="zh-CN" w:bidi="ar"/>
          <w14:textFill>
            <w14:solidFill>
              <w14:schemeClr w14:val="tx1"/>
            </w14:solidFill>
          </w14:textFill>
        </w:rPr>
        <w:t>2、项目资金使用情况</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left="0" w:right="0" w:firstLine="640"/>
        <w:jc w:val="left"/>
        <w:rPr>
          <w:rFonts w:hint="eastAsia" w:ascii="仿宋_GB2312" w:hAnsi="仿宋_GB2312" w:eastAsia="仿宋_GB2312" w:cs="仿宋_GB2312"/>
          <w:b w:val="0"/>
          <w:bCs w:val="0"/>
          <w:i w:val="0"/>
          <w:iCs w:val="0"/>
          <w:caps w:val="0"/>
          <w:color w:val="000000" w:themeColor="text1"/>
          <w:spacing w:val="0"/>
          <w:kern w:val="0"/>
          <w:sz w:val="32"/>
          <w:szCs w:val="32"/>
          <w:u w:val="none"/>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kern w:val="0"/>
          <w:sz w:val="32"/>
          <w:szCs w:val="32"/>
          <w:u w:val="none"/>
          <w:shd w:val="clear" w:fill="FFFFFF"/>
          <w:lang w:val="en-US" w:eastAsia="zh-CN" w:bidi="ar"/>
          <w14:textFill>
            <w14:solidFill>
              <w14:schemeClr w14:val="tx1"/>
            </w14:solidFill>
          </w14:textFill>
        </w:rPr>
        <w:t>档案征集项目按计划使用资金30万元，无剩余。</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left="0" w:right="0" w:firstLine="640"/>
        <w:jc w:val="left"/>
        <w:rPr>
          <w:rFonts w:hint="eastAsia" w:ascii="仿宋_GB2312" w:hAnsi="仿宋_GB2312" w:eastAsia="仿宋_GB2312" w:cs="仿宋_GB2312"/>
          <w:b/>
          <w:bCs/>
          <w:color w:val="000000" w:themeColor="text1"/>
          <w:sz w:val="32"/>
          <w:szCs w:val="32"/>
          <w:u w:val="none"/>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kern w:val="0"/>
          <w:sz w:val="32"/>
          <w:szCs w:val="32"/>
          <w:u w:val="none"/>
          <w:shd w:val="clear" w:fill="FFFFFF"/>
          <w:lang w:val="en-US" w:eastAsia="zh-CN" w:bidi="ar"/>
          <w14:textFill>
            <w14:solidFill>
              <w14:schemeClr w14:val="tx1"/>
            </w14:solidFill>
          </w14:textFill>
        </w:rPr>
        <w:t>3、项目资金管理情况</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left="0" w:right="0" w:firstLine="640"/>
        <w:jc w:val="left"/>
        <w:rPr>
          <w:rFonts w:hint="eastAsia" w:ascii="仿宋_GB2312" w:hAnsi="仿宋_GB2312" w:eastAsia="仿宋_GB2312" w:cs="仿宋_GB2312"/>
          <w:b w:val="0"/>
          <w:bCs w:val="0"/>
          <w:color w:val="000000" w:themeColor="text1"/>
          <w:sz w:val="32"/>
          <w:szCs w:val="32"/>
          <w:u w:val="none"/>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kern w:val="0"/>
          <w:sz w:val="32"/>
          <w:szCs w:val="32"/>
          <w:u w:val="none"/>
          <w:shd w:val="clear" w:fill="FFFFFF"/>
          <w:lang w:val="en-US" w:eastAsia="zh-CN" w:bidi="ar"/>
          <w14:textFill>
            <w14:solidFill>
              <w14:schemeClr w14:val="tx1"/>
            </w14:solidFill>
          </w14:textFill>
        </w:rPr>
        <w:t>2021年，我局严格执行相关管理制度，保证项目的顺利实施，取得了明显的效果。项目资金拨付严格审批程序，使用规范，会计核算真实、准确。此次绩效评价过程中未发现截留、挤占或挪用项目资金的情况。</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right="0" w:firstLine="642" w:firstLineChars="200"/>
        <w:jc w:val="left"/>
        <w:rPr>
          <w:rFonts w:hint="eastAsia" w:ascii="黑体" w:hAnsi="黑体" w:eastAsia="黑体" w:cs="黑体"/>
          <w:color w:val="000000" w:themeColor="text1"/>
          <w:sz w:val="32"/>
          <w:szCs w:val="32"/>
          <w:u w:val="none"/>
          <w14:textFill>
            <w14:solidFill>
              <w14:schemeClr w14:val="tx1"/>
            </w14:solidFill>
          </w14:textFill>
        </w:rPr>
      </w:pPr>
      <w:r>
        <w:rPr>
          <w:rFonts w:hint="eastAsia" w:ascii="黑体" w:hAnsi="黑体" w:eastAsia="黑体" w:cs="黑体"/>
          <w:b/>
          <w:bCs/>
          <w:i w:val="0"/>
          <w:iCs w:val="0"/>
          <w:caps w:val="0"/>
          <w:color w:val="000000" w:themeColor="text1"/>
          <w:spacing w:val="0"/>
          <w:kern w:val="0"/>
          <w:sz w:val="32"/>
          <w:szCs w:val="32"/>
          <w:u w:val="none"/>
          <w:shd w:val="clear" w:fill="FFFFFF"/>
          <w:lang w:val="en-US" w:eastAsia="zh-CN" w:bidi="ar"/>
          <w14:textFill>
            <w14:solidFill>
              <w14:schemeClr w14:val="tx1"/>
            </w14:solidFill>
          </w14:textFill>
        </w:rPr>
        <w:t>二、项目实施及管理情况</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left="0" w:right="0" w:firstLine="640" w:firstLineChars="200"/>
        <w:jc w:val="left"/>
        <w:rPr>
          <w:rFonts w:hint="eastAsia" w:ascii="楷体_GB2312" w:hAnsi="宋体" w:eastAsia="楷体_GB2312" w:cs="宋体"/>
          <w:color w:val="000000"/>
          <w:kern w:val="0"/>
          <w:sz w:val="32"/>
          <w:szCs w:val="32"/>
          <w:shd w:val="clear" w:color="auto" w:fill="FFFFFF"/>
          <w:lang w:val="en-US" w:eastAsia="zh-CN" w:bidi="ar-SA"/>
        </w:rPr>
      </w:pPr>
      <w:r>
        <w:rPr>
          <w:rFonts w:hint="eastAsia" w:ascii="楷体_GB2312" w:hAnsi="宋体" w:eastAsia="楷体_GB2312" w:cs="宋体"/>
          <w:color w:val="000000"/>
          <w:kern w:val="0"/>
          <w:sz w:val="32"/>
          <w:szCs w:val="32"/>
          <w:shd w:val="clear" w:color="auto" w:fill="FFFFFF"/>
          <w:lang w:val="en-US" w:eastAsia="zh-CN" w:bidi="ar-SA"/>
        </w:rPr>
        <w:t>（一）项目组织情况</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left="0" w:right="0" w:firstLine="640"/>
        <w:jc w:val="left"/>
        <w:rPr>
          <w:rFonts w:hint="eastAsia" w:ascii="仿宋_GB2312" w:hAnsi="仿宋_GB2312" w:eastAsia="仿宋_GB2312" w:cs="仿宋_GB2312"/>
          <w:b w:val="0"/>
          <w:bCs w:val="0"/>
          <w:color w:val="000000" w:themeColor="text1"/>
          <w:sz w:val="32"/>
          <w:szCs w:val="32"/>
          <w:u w:val="none"/>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kern w:val="0"/>
          <w:sz w:val="32"/>
          <w:szCs w:val="32"/>
          <w:u w:val="none"/>
          <w:shd w:val="clear" w:fill="FFFFFF"/>
          <w:lang w:val="en-US" w:eastAsia="zh-CN" w:bidi="ar"/>
          <w14:textFill>
            <w14:solidFill>
              <w14:schemeClr w14:val="tx1"/>
            </w14:solidFill>
          </w14:textFill>
        </w:rPr>
        <w:t>作为我馆经常性项目，每年的上年末都对工作进行分析，总结经验，同时对下一年度的工作做好计划，通过多渠道努力向社会各界宣传，同时在生活中积极关注社会各界情况，做好实物档案征集准备工作。</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left="0" w:right="0" w:firstLine="640" w:firstLineChars="200"/>
        <w:jc w:val="left"/>
        <w:rPr>
          <w:rFonts w:hint="eastAsia" w:ascii="楷体_GB2312" w:hAnsi="宋体" w:eastAsia="楷体_GB2312" w:cs="宋体"/>
          <w:color w:val="000000"/>
          <w:kern w:val="0"/>
          <w:sz w:val="32"/>
          <w:szCs w:val="32"/>
          <w:shd w:val="clear" w:color="auto" w:fill="FFFFFF"/>
          <w:lang w:val="en-US" w:eastAsia="zh-CN" w:bidi="ar-SA"/>
        </w:rPr>
      </w:pPr>
      <w:r>
        <w:rPr>
          <w:rFonts w:hint="eastAsia" w:ascii="楷体_GB2312" w:hAnsi="宋体" w:eastAsia="楷体_GB2312" w:cs="宋体"/>
          <w:color w:val="000000"/>
          <w:kern w:val="0"/>
          <w:sz w:val="32"/>
          <w:szCs w:val="32"/>
          <w:shd w:val="clear" w:color="auto" w:fill="FFFFFF"/>
          <w:lang w:val="en-US" w:eastAsia="zh-CN" w:bidi="ar-SA"/>
        </w:rPr>
        <w:t>（二）项目管理情况</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left="0" w:right="0" w:firstLine="640"/>
        <w:jc w:val="left"/>
        <w:rPr>
          <w:rFonts w:hint="eastAsia" w:ascii="仿宋_GB2312" w:hAnsi="仿宋_GB2312" w:eastAsia="仿宋_GB2312" w:cs="仿宋_GB2312"/>
          <w:b w:val="0"/>
          <w:bCs w:val="0"/>
          <w:color w:val="000000" w:themeColor="text1"/>
          <w:sz w:val="32"/>
          <w:szCs w:val="32"/>
          <w:u w:val="none"/>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kern w:val="0"/>
          <w:sz w:val="32"/>
          <w:szCs w:val="32"/>
          <w:u w:val="none"/>
          <w:shd w:val="clear" w:fill="FFFFFF"/>
          <w:lang w:val="en-US" w:eastAsia="zh-CN" w:bidi="ar"/>
          <w14:textFill>
            <w14:solidFill>
              <w14:schemeClr w14:val="tx1"/>
            </w14:solidFill>
          </w14:textFill>
        </w:rPr>
        <w:t>根据国家和省市相关规定，对项目经费的使用制订了管理办法，不断加强财务管理内部控制制度，进一步完善经费管理规定；此项目开展由</w:t>
      </w:r>
      <w:r>
        <w:rPr>
          <w:rFonts w:hint="default" w:ascii="仿宋_GB2312" w:hAnsi="仿宋_GB2312" w:eastAsia="仿宋_GB2312" w:cs="仿宋_GB2312"/>
          <w:b w:val="0"/>
          <w:bCs w:val="0"/>
          <w:i w:val="0"/>
          <w:iCs w:val="0"/>
          <w:caps w:val="0"/>
          <w:color w:val="000000" w:themeColor="text1"/>
          <w:spacing w:val="0"/>
          <w:kern w:val="0"/>
          <w:sz w:val="32"/>
          <w:szCs w:val="32"/>
          <w:u w:val="none"/>
          <w:shd w:val="clear" w:fill="FFFFFF"/>
          <w:lang w:eastAsia="zh-CN" w:bidi="ar"/>
          <w14:textFill>
            <w14:solidFill>
              <w14:schemeClr w14:val="tx1"/>
            </w14:solidFill>
          </w14:textFill>
        </w:rPr>
        <w:t>档案</w:t>
      </w:r>
      <w:r>
        <w:rPr>
          <w:rFonts w:hint="eastAsia" w:ascii="仿宋_GB2312" w:hAnsi="仿宋_GB2312" w:eastAsia="仿宋_GB2312" w:cs="仿宋_GB2312"/>
          <w:b w:val="0"/>
          <w:bCs w:val="0"/>
          <w:i w:val="0"/>
          <w:iCs w:val="0"/>
          <w:caps w:val="0"/>
          <w:color w:val="000000" w:themeColor="text1"/>
          <w:spacing w:val="0"/>
          <w:kern w:val="0"/>
          <w:sz w:val="32"/>
          <w:szCs w:val="32"/>
          <w:u w:val="none"/>
          <w:shd w:val="clear" w:fill="FFFFFF"/>
          <w:lang w:val="en-US" w:eastAsia="zh-CN" w:bidi="ar"/>
          <w14:textFill>
            <w14:solidFill>
              <w14:schemeClr w14:val="tx1"/>
            </w14:solidFill>
          </w14:textFill>
        </w:rPr>
        <w:t>接收征集科组织实施，成立有档案征集领导小组，资金支出由办公室统筹办理，资金支出严格按照财务规定执行。</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right="0" w:firstLine="642" w:firstLineChars="200"/>
        <w:jc w:val="left"/>
        <w:rPr>
          <w:rFonts w:hint="eastAsia" w:ascii="黑体" w:hAnsi="黑体" w:eastAsia="黑体" w:cs="黑体"/>
          <w:color w:val="000000" w:themeColor="text1"/>
          <w:sz w:val="32"/>
          <w:szCs w:val="32"/>
          <w:u w:val="none"/>
          <w14:textFill>
            <w14:solidFill>
              <w14:schemeClr w14:val="tx1"/>
            </w14:solidFill>
          </w14:textFill>
        </w:rPr>
      </w:pPr>
      <w:r>
        <w:rPr>
          <w:rFonts w:hint="eastAsia" w:ascii="黑体" w:hAnsi="黑体" w:eastAsia="黑体" w:cs="黑体"/>
          <w:b/>
          <w:bCs/>
          <w:i w:val="0"/>
          <w:iCs w:val="0"/>
          <w:caps w:val="0"/>
          <w:color w:val="000000" w:themeColor="text1"/>
          <w:spacing w:val="0"/>
          <w:kern w:val="0"/>
          <w:sz w:val="32"/>
          <w:szCs w:val="32"/>
          <w:u w:val="none"/>
          <w:shd w:val="clear" w:fill="FFFFFF"/>
          <w:lang w:val="en-US" w:eastAsia="zh-CN" w:bidi="ar"/>
          <w14:textFill>
            <w14:solidFill>
              <w14:schemeClr w14:val="tx1"/>
            </w14:solidFill>
          </w14:textFill>
        </w:rPr>
        <w:t>三、项目绩效情况</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left="0" w:right="0" w:firstLine="640" w:firstLineChars="200"/>
        <w:jc w:val="left"/>
        <w:rPr>
          <w:rFonts w:hint="eastAsia" w:ascii="楷体_GB2312" w:hAnsi="宋体" w:eastAsia="楷体_GB2312" w:cs="宋体"/>
          <w:color w:val="000000"/>
          <w:kern w:val="0"/>
          <w:sz w:val="32"/>
          <w:szCs w:val="32"/>
          <w:shd w:val="clear" w:color="auto" w:fill="FFFFFF"/>
          <w:lang w:val="en-US" w:eastAsia="zh-CN" w:bidi="ar-SA"/>
        </w:rPr>
      </w:pPr>
      <w:r>
        <w:rPr>
          <w:rFonts w:hint="eastAsia" w:ascii="楷体_GB2312" w:hAnsi="宋体" w:eastAsia="楷体_GB2312" w:cs="宋体"/>
          <w:color w:val="000000"/>
          <w:kern w:val="0"/>
          <w:sz w:val="32"/>
          <w:szCs w:val="32"/>
          <w:shd w:val="clear" w:color="auto" w:fill="FFFFFF"/>
          <w:lang w:val="en-US" w:eastAsia="zh-CN" w:bidi="ar-SA"/>
        </w:rPr>
        <w:t>（一）项目完成情况</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left="0" w:right="0" w:firstLine="640"/>
        <w:jc w:val="left"/>
        <w:rPr>
          <w:rFonts w:hint="eastAsia" w:ascii="仿宋_GB2312" w:hAnsi="仿宋_GB2312" w:eastAsia="仿宋_GB2312" w:cs="仿宋_GB2312"/>
          <w:b w:val="0"/>
          <w:bCs w:val="0"/>
          <w:color w:val="000000" w:themeColor="text1"/>
          <w:sz w:val="32"/>
          <w:szCs w:val="32"/>
          <w:u w:val="none"/>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kern w:val="0"/>
          <w:sz w:val="32"/>
          <w:szCs w:val="32"/>
          <w:u w:val="none"/>
          <w:shd w:val="clear" w:fill="FFFFFF"/>
          <w:lang w:val="en-US" w:eastAsia="zh-CN" w:bidi="ar"/>
          <w14:textFill>
            <w14:solidFill>
              <w14:schemeClr w14:val="tx1"/>
            </w14:solidFill>
          </w14:textFill>
        </w:rPr>
        <w:t>根据项目运行方案，细化任务、合理配置资源，建立项目控制管理机制，规避项目风险，确保了项目较好质量的完成。2021年征集到了反映阿坝州历史的部分图书、实物档案等，逐步丰富了馆藏，为研究阿坝州历史提供了宝贵材料，更好的效果将在今后历史的研究中展现，与项目预期成效一致。项目预算投资金额30万元，当年支出30万元，项目实施过程中严格按照项目预算科目及有关政策规定进行支付。</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left="0" w:right="0" w:firstLine="640" w:firstLineChars="200"/>
        <w:jc w:val="left"/>
        <w:rPr>
          <w:rFonts w:hint="eastAsia" w:ascii="楷体_GB2312" w:hAnsi="宋体" w:eastAsia="楷体_GB2312" w:cs="宋体"/>
          <w:color w:val="000000"/>
          <w:kern w:val="0"/>
          <w:sz w:val="32"/>
          <w:szCs w:val="32"/>
          <w:shd w:val="clear" w:color="auto" w:fill="FFFFFF"/>
          <w:lang w:val="en-US" w:eastAsia="zh-CN" w:bidi="ar-SA"/>
        </w:rPr>
      </w:pPr>
      <w:r>
        <w:rPr>
          <w:rFonts w:hint="eastAsia" w:ascii="楷体_GB2312" w:hAnsi="宋体" w:eastAsia="楷体_GB2312" w:cs="宋体"/>
          <w:color w:val="000000"/>
          <w:kern w:val="0"/>
          <w:sz w:val="32"/>
          <w:szCs w:val="32"/>
          <w:shd w:val="clear" w:color="auto" w:fill="FFFFFF"/>
          <w:lang w:val="en-US" w:eastAsia="zh-CN" w:bidi="ar-SA"/>
        </w:rPr>
        <w:t>（二）项目效益情况</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left="0" w:right="0" w:firstLine="640"/>
        <w:jc w:val="left"/>
        <w:rPr>
          <w:rFonts w:hint="eastAsia" w:ascii="仿宋_GB2312" w:hAnsi="仿宋_GB2312" w:eastAsia="仿宋_GB2312" w:cs="仿宋_GB2312"/>
          <w:b/>
          <w:bCs/>
          <w:color w:val="000000" w:themeColor="text1"/>
          <w:sz w:val="32"/>
          <w:szCs w:val="32"/>
          <w:u w:val="none"/>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kern w:val="0"/>
          <w:sz w:val="32"/>
          <w:szCs w:val="32"/>
          <w:u w:val="none"/>
          <w:shd w:val="clear" w:fill="FFFFFF"/>
          <w:lang w:val="en-US" w:eastAsia="zh-CN" w:bidi="ar"/>
          <w14:textFill>
            <w14:solidFill>
              <w14:schemeClr w14:val="tx1"/>
            </w14:solidFill>
          </w14:textFill>
        </w:rPr>
        <w:t>1、项目实施对经济和社会的影响</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left="0" w:right="0" w:firstLine="640"/>
        <w:jc w:val="left"/>
        <w:rPr>
          <w:rFonts w:hint="eastAsia" w:ascii="仿宋_GB2312" w:hAnsi="仿宋_GB2312" w:eastAsia="仿宋_GB2312" w:cs="仿宋_GB2312"/>
          <w:b w:val="0"/>
          <w:bCs w:val="0"/>
          <w:color w:val="000000" w:themeColor="text1"/>
          <w:sz w:val="32"/>
          <w:szCs w:val="32"/>
          <w:u w:val="none"/>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kern w:val="0"/>
          <w:sz w:val="32"/>
          <w:szCs w:val="32"/>
          <w:u w:val="none"/>
          <w:shd w:val="clear" w:fill="FFFFFF"/>
          <w:lang w:val="en-US" w:eastAsia="zh-CN" w:bidi="ar"/>
          <w14:textFill>
            <w14:solidFill>
              <w14:schemeClr w14:val="tx1"/>
            </w14:solidFill>
          </w14:textFill>
        </w:rPr>
        <w:t>该项目无论是在档案的利用还是编印相关公开信息以及举办档案展览、</w:t>
      </w:r>
      <w:r>
        <w:rPr>
          <w:rFonts w:hint="eastAsia" w:ascii="仿宋_GB2312" w:hAnsi="仿宋_GB2312" w:eastAsia="仿宋_GB2312" w:cs="仿宋_GB2312"/>
          <w:b w:val="0"/>
          <w:bCs w:val="0"/>
          <w:i w:val="0"/>
          <w:iCs w:val="0"/>
          <w:caps w:val="0"/>
          <w:color w:val="000000" w:themeColor="text1"/>
          <w:spacing w:val="-8"/>
          <w:kern w:val="0"/>
          <w:sz w:val="32"/>
          <w:szCs w:val="32"/>
          <w:u w:val="none"/>
          <w:shd w:val="clear" w:fill="FFFFFF"/>
          <w:lang w:val="en-US" w:eastAsia="zh-CN" w:bidi="ar"/>
          <w14:textFill>
            <w14:solidFill>
              <w14:schemeClr w14:val="tx1"/>
            </w14:solidFill>
          </w14:textFill>
        </w:rPr>
        <w:t>维护档案实体的安全</w:t>
      </w:r>
      <w:r>
        <w:rPr>
          <w:rFonts w:hint="eastAsia" w:ascii="仿宋_GB2312" w:hAnsi="仿宋_GB2312" w:eastAsia="仿宋_GB2312" w:cs="仿宋_GB2312"/>
          <w:b w:val="0"/>
          <w:bCs w:val="0"/>
          <w:i w:val="0"/>
          <w:iCs w:val="0"/>
          <w:caps w:val="0"/>
          <w:color w:val="000000" w:themeColor="text1"/>
          <w:spacing w:val="0"/>
          <w:kern w:val="0"/>
          <w:sz w:val="32"/>
          <w:szCs w:val="32"/>
          <w:u w:val="none"/>
          <w:shd w:val="clear" w:fill="FFFFFF"/>
          <w:lang w:val="en-US" w:eastAsia="zh-CN" w:bidi="ar"/>
          <w14:textFill>
            <w14:solidFill>
              <w14:schemeClr w14:val="tx1"/>
            </w14:solidFill>
          </w14:textFill>
        </w:rPr>
        <w:t>都有举足轻重的作用；该项目受益群体一方面是今后的历史研究工作者，一方面是社会公众，更多的是阿坝州历史和文化的见证，对经济效益的影响是间接的，没有显著的表现。</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left="0" w:right="0" w:firstLine="640"/>
        <w:jc w:val="left"/>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kern w:val="0"/>
          <w:sz w:val="32"/>
          <w:szCs w:val="32"/>
          <w:u w:val="none"/>
          <w:shd w:val="clear" w:fill="FFFFFF"/>
          <w:lang w:val="en-US" w:eastAsia="zh-CN" w:bidi="ar"/>
          <w14:textFill>
            <w14:solidFill>
              <w14:schemeClr w14:val="tx1"/>
            </w14:solidFill>
          </w14:textFill>
        </w:rPr>
        <w:t>2、项目可持续性效益分析</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left="0" w:right="0" w:firstLine="640"/>
        <w:jc w:val="left"/>
        <w:rPr>
          <w:rFonts w:hint="eastAsia" w:ascii="仿宋_GB2312" w:hAnsi="仿宋_GB2312" w:eastAsia="仿宋_GB2312" w:cs="仿宋_GB2312"/>
          <w:b w:val="0"/>
          <w:bCs w:val="0"/>
          <w:i w:val="0"/>
          <w:iCs w:val="0"/>
          <w:caps w:val="0"/>
          <w:color w:val="000000" w:themeColor="text1"/>
          <w:spacing w:val="0"/>
          <w:kern w:val="0"/>
          <w:sz w:val="32"/>
          <w:szCs w:val="32"/>
          <w:u w:val="none"/>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kern w:val="0"/>
          <w:sz w:val="32"/>
          <w:szCs w:val="32"/>
          <w:u w:val="none"/>
          <w:shd w:val="clear" w:fill="FFFFFF"/>
          <w:lang w:val="en-US" w:eastAsia="zh-CN" w:bidi="ar"/>
          <w14:textFill>
            <w14:solidFill>
              <w14:schemeClr w14:val="tx1"/>
            </w14:solidFill>
          </w14:textFill>
        </w:rPr>
        <w:t>该项目是为丰富了馆藏、为研究阿坝州历史提供素材而设置的，这是档案工作一个重要组成部分。</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right="0" w:firstLine="642" w:firstLineChars="200"/>
        <w:jc w:val="left"/>
        <w:rPr>
          <w:rFonts w:hint="eastAsia" w:ascii="黑体" w:hAnsi="黑体" w:eastAsia="黑体" w:cs="黑体"/>
          <w:b/>
          <w:bCs/>
          <w:i w:val="0"/>
          <w:iCs w:val="0"/>
          <w:caps w:val="0"/>
          <w:color w:val="000000" w:themeColor="text1"/>
          <w:spacing w:val="0"/>
          <w:kern w:val="0"/>
          <w:sz w:val="32"/>
          <w:szCs w:val="32"/>
          <w:u w:val="none"/>
          <w:shd w:val="clear" w:fill="FFFFFF"/>
          <w:lang w:val="en-US" w:eastAsia="zh-CN" w:bidi="ar"/>
          <w14:textFill>
            <w14:solidFill>
              <w14:schemeClr w14:val="tx1"/>
            </w14:solidFill>
          </w14:textFill>
        </w:rPr>
      </w:pPr>
      <w:r>
        <w:rPr>
          <w:rFonts w:hint="default" w:ascii="黑体" w:hAnsi="黑体" w:eastAsia="黑体" w:cs="黑体"/>
          <w:b/>
          <w:bCs/>
          <w:i w:val="0"/>
          <w:iCs w:val="0"/>
          <w:caps w:val="0"/>
          <w:color w:val="000000" w:themeColor="text1"/>
          <w:spacing w:val="0"/>
          <w:kern w:val="0"/>
          <w:sz w:val="32"/>
          <w:szCs w:val="32"/>
          <w:u w:val="none"/>
          <w:shd w:val="clear" w:fill="FFFFFF"/>
          <w:lang w:eastAsia="zh-CN" w:bidi="ar"/>
          <w14:textFill>
            <w14:solidFill>
              <w14:schemeClr w14:val="tx1"/>
            </w14:solidFill>
          </w14:textFill>
        </w:rPr>
        <w:t>四</w:t>
      </w:r>
      <w:r>
        <w:rPr>
          <w:rFonts w:hint="eastAsia" w:ascii="黑体" w:hAnsi="黑体" w:eastAsia="黑体" w:cs="黑体"/>
          <w:b/>
          <w:bCs/>
          <w:i w:val="0"/>
          <w:iCs w:val="0"/>
          <w:caps w:val="0"/>
          <w:color w:val="000000" w:themeColor="text1"/>
          <w:spacing w:val="0"/>
          <w:kern w:val="0"/>
          <w:sz w:val="32"/>
          <w:szCs w:val="32"/>
          <w:u w:val="none"/>
          <w:shd w:val="clear" w:fill="FFFFFF"/>
          <w:lang w:val="en-US" w:eastAsia="zh-CN" w:bidi="ar"/>
          <w14:textFill>
            <w14:solidFill>
              <w14:schemeClr w14:val="tx1"/>
            </w14:solidFill>
          </w14:textFill>
        </w:rPr>
        <w:t>、评价结论和建议</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eastAsia" w:ascii="楷体_GB2312" w:hAnsi="宋体" w:eastAsia="楷体_GB2312" w:cs="宋体"/>
          <w:color w:val="000000"/>
          <w:kern w:val="0"/>
          <w:sz w:val="32"/>
          <w:szCs w:val="32"/>
          <w:shd w:val="clear" w:color="auto" w:fill="FFFFFF"/>
          <w:lang w:val="en-US" w:eastAsia="zh-CN" w:bidi="ar-SA"/>
        </w:rPr>
      </w:pPr>
      <w:r>
        <w:rPr>
          <w:rFonts w:hint="eastAsia" w:ascii="楷体_GB2312" w:hAnsi="宋体" w:eastAsia="楷体_GB2312" w:cs="宋体"/>
          <w:color w:val="000000"/>
          <w:kern w:val="0"/>
          <w:sz w:val="32"/>
          <w:szCs w:val="32"/>
          <w:shd w:val="clear" w:color="auto" w:fill="FFFFFF"/>
          <w:lang w:val="en-US" w:eastAsia="zh-CN" w:bidi="ar-SA"/>
        </w:rPr>
        <w:t>（一）评价结论</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right="0" w:firstLine="640" w:firstLineChars="200"/>
        <w:jc w:val="both"/>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2021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年度，我</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馆</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档案征集项目根据项目运行方案，细化任务，建立项目控制管理机制，规避项目风险</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决策过程、资金分配、资金到位、资金管理、组织实施等方面落实情况较好，能按进度时序有效开展</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数量指标、质量指标、时效指标、成本指标、社会效益指标、服务对象满意度指标均取得预期效果</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确保了项目</w:t>
      </w:r>
      <w:r>
        <w:rPr>
          <w:rFonts w:hint="default"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高</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质量完成。自评分</w:t>
      </w:r>
      <w:r>
        <w:rPr>
          <w:rFonts w:hint="default"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95</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分。</w:t>
      </w:r>
    </w:p>
    <w:p>
      <w:pPr>
        <w:spacing w:line="600" w:lineRule="exact"/>
        <w:jc w:val="center"/>
        <w:rPr>
          <w:rFonts w:ascii="方正小标宋_GBK" w:eastAsia="方正小标宋_GBK"/>
          <w:sz w:val="44"/>
          <w:szCs w:val="44"/>
        </w:rPr>
      </w:pPr>
      <w:r>
        <w:rPr>
          <w:rFonts w:hint="eastAsia" w:ascii="方正小标宋_GBK" w:eastAsia="方正小标宋_GBK"/>
          <w:sz w:val="44"/>
          <w:szCs w:val="44"/>
        </w:rPr>
        <w:t>项目支出绩效自评表</w:t>
      </w:r>
    </w:p>
    <w:tbl>
      <w:tblPr>
        <w:tblStyle w:val="1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
        <w:gridCol w:w="1089"/>
        <w:gridCol w:w="588"/>
        <w:gridCol w:w="934"/>
        <w:gridCol w:w="125"/>
        <w:gridCol w:w="709"/>
        <w:gridCol w:w="1088"/>
        <w:gridCol w:w="471"/>
        <w:gridCol w:w="709"/>
        <w:gridCol w:w="1680"/>
        <w:gridCol w:w="792"/>
        <w:gridCol w:w="236"/>
        <w:gridCol w:w="269"/>
        <w:gridCol w:w="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5" w:type="dxa"/>
            <w:gridSpan w:val="2"/>
            <w:vAlign w:val="center"/>
          </w:tcPr>
          <w:p>
            <w:pPr>
              <w:jc w:val="center"/>
              <w:rPr>
                <w:sz w:val="16"/>
              </w:rPr>
            </w:pPr>
            <w:r>
              <w:rPr>
                <w:rFonts w:hint="eastAsia"/>
                <w:sz w:val="16"/>
              </w:rPr>
              <w:t>项目名称</w:t>
            </w:r>
          </w:p>
        </w:tc>
        <w:tc>
          <w:tcPr>
            <w:tcW w:w="8386" w:type="dxa"/>
            <w:gridSpan w:val="12"/>
            <w:vAlign w:val="center"/>
          </w:tcPr>
          <w:p>
            <w:pPr>
              <w:jc w:val="center"/>
              <w:rPr>
                <w:sz w:val="16"/>
              </w:rPr>
            </w:pPr>
            <w:r>
              <w:rPr>
                <w:rFonts w:hint="eastAsia"/>
                <w:sz w:val="16"/>
                <w:lang w:val="en-US" w:eastAsia="zh-CN"/>
              </w:rPr>
              <w:t>档案征集</w:t>
            </w:r>
            <w:r>
              <w:rPr>
                <w:rFonts w:hint="eastAsia"/>
                <w:sz w:val="16"/>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5" w:type="dxa"/>
            <w:gridSpan w:val="2"/>
            <w:vAlign w:val="center"/>
          </w:tcPr>
          <w:p>
            <w:pPr>
              <w:jc w:val="center"/>
              <w:rPr>
                <w:sz w:val="16"/>
              </w:rPr>
            </w:pPr>
            <w:r>
              <w:rPr>
                <w:rFonts w:hint="eastAsia"/>
                <w:sz w:val="16"/>
              </w:rPr>
              <w:t>项目负责人</w:t>
            </w:r>
          </w:p>
        </w:tc>
        <w:tc>
          <w:tcPr>
            <w:tcW w:w="2356" w:type="dxa"/>
            <w:gridSpan w:val="4"/>
            <w:vAlign w:val="center"/>
          </w:tcPr>
          <w:p>
            <w:pPr>
              <w:jc w:val="center"/>
              <w:rPr>
                <w:rFonts w:hint="eastAsia" w:eastAsiaTheme="minorEastAsia"/>
                <w:sz w:val="16"/>
                <w:lang w:eastAsia="zh-CN"/>
              </w:rPr>
            </w:pPr>
            <w:r>
              <w:rPr>
                <w:rFonts w:hint="eastAsia"/>
                <w:sz w:val="16"/>
                <w:lang w:val="en-US" w:eastAsia="zh-CN"/>
              </w:rPr>
              <w:t>王勇</w:t>
            </w:r>
          </w:p>
        </w:tc>
        <w:tc>
          <w:tcPr>
            <w:tcW w:w="1088" w:type="dxa"/>
            <w:vAlign w:val="center"/>
          </w:tcPr>
          <w:p>
            <w:pPr>
              <w:jc w:val="center"/>
              <w:rPr>
                <w:sz w:val="16"/>
              </w:rPr>
            </w:pPr>
            <w:r>
              <w:rPr>
                <w:rFonts w:hint="eastAsia"/>
                <w:sz w:val="16"/>
              </w:rPr>
              <w:t>项目编号</w:t>
            </w:r>
            <w:r>
              <w:rPr>
                <w:sz w:val="16"/>
              </w:rPr>
              <w:t xml:space="preserve"> </w:t>
            </w:r>
          </w:p>
        </w:tc>
        <w:tc>
          <w:tcPr>
            <w:tcW w:w="4942" w:type="dxa"/>
            <w:gridSpan w:val="7"/>
            <w:vAlign w:val="center"/>
          </w:tcPr>
          <w:p>
            <w:pPr>
              <w:jc w:val="center"/>
              <w:rPr>
                <w:sz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5" w:type="dxa"/>
            <w:gridSpan w:val="2"/>
            <w:vMerge w:val="restart"/>
            <w:vAlign w:val="center"/>
          </w:tcPr>
          <w:p>
            <w:pPr>
              <w:jc w:val="center"/>
              <w:rPr>
                <w:sz w:val="16"/>
              </w:rPr>
            </w:pPr>
            <w:r>
              <w:rPr>
                <w:rFonts w:hint="eastAsia"/>
                <w:sz w:val="16"/>
              </w:rPr>
              <w:t>项目资金（万元）</w:t>
            </w:r>
          </w:p>
        </w:tc>
        <w:tc>
          <w:tcPr>
            <w:tcW w:w="1522" w:type="dxa"/>
            <w:gridSpan w:val="2"/>
            <w:vAlign w:val="center"/>
          </w:tcPr>
          <w:p>
            <w:pPr>
              <w:jc w:val="center"/>
              <w:rPr>
                <w:sz w:val="16"/>
              </w:rPr>
            </w:pPr>
          </w:p>
        </w:tc>
        <w:tc>
          <w:tcPr>
            <w:tcW w:w="834" w:type="dxa"/>
            <w:gridSpan w:val="2"/>
            <w:vAlign w:val="center"/>
          </w:tcPr>
          <w:p>
            <w:pPr>
              <w:jc w:val="center"/>
              <w:rPr>
                <w:sz w:val="16"/>
              </w:rPr>
            </w:pPr>
            <w:r>
              <w:rPr>
                <w:rFonts w:hint="eastAsia"/>
                <w:sz w:val="16"/>
              </w:rPr>
              <w:t>年初预算数（</w:t>
            </w:r>
            <w:r>
              <w:rPr>
                <w:sz w:val="16"/>
              </w:rPr>
              <w:t>A</w:t>
            </w:r>
            <w:r>
              <w:rPr>
                <w:rFonts w:hint="eastAsia"/>
                <w:sz w:val="16"/>
              </w:rPr>
              <w:t>）</w:t>
            </w:r>
          </w:p>
        </w:tc>
        <w:tc>
          <w:tcPr>
            <w:tcW w:w="1088" w:type="dxa"/>
            <w:vAlign w:val="center"/>
          </w:tcPr>
          <w:p>
            <w:pPr>
              <w:jc w:val="center"/>
              <w:rPr>
                <w:sz w:val="16"/>
              </w:rPr>
            </w:pPr>
            <w:r>
              <w:rPr>
                <w:rFonts w:hint="eastAsia"/>
                <w:sz w:val="16"/>
              </w:rPr>
              <w:t>全年执行数（</w:t>
            </w:r>
            <w:r>
              <w:rPr>
                <w:sz w:val="16"/>
              </w:rPr>
              <w:t>B</w:t>
            </w:r>
            <w:r>
              <w:rPr>
                <w:rFonts w:hint="eastAsia"/>
                <w:sz w:val="16"/>
              </w:rPr>
              <w:t>）</w:t>
            </w:r>
          </w:p>
        </w:tc>
        <w:tc>
          <w:tcPr>
            <w:tcW w:w="1180" w:type="dxa"/>
            <w:gridSpan w:val="2"/>
            <w:vAlign w:val="center"/>
          </w:tcPr>
          <w:p>
            <w:pPr>
              <w:jc w:val="center"/>
              <w:rPr>
                <w:sz w:val="16"/>
              </w:rPr>
            </w:pPr>
            <w:r>
              <w:rPr>
                <w:rFonts w:hint="eastAsia"/>
                <w:sz w:val="16"/>
              </w:rPr>
              <w:t>分值（</w:t>
            </w:r>
            <w:r>
              <w:rPr>
                <w:sz w:val="16"/>
              </w:rPr>
              <w:t>10</w:t>
            </w:r>
            <w:r>
              <w:rPr>
                <w:rFonts w:hint="eastAsia"/>
                <w:sz w:val="16"/>
              </w:rPr>
              <w:t>分）</w:t>
            </w:r>
          </w:p>
        </w:tc>
        <w:tc>
          <w:tcPr>
            <w:tcW w:w="1680" w:type="dxa"/>
            <w:vAlign w:val="center"/>
          </w:tcPr>
          <w:p>
            <w:pPr>
              <w:jc w:val="center"/>
              <w:rPr>
                <w:sz w:val="16"/>
              </w:rPr>
            </w:pPr>
            <w:r>
              <w:rPr>
                <w:rFonts w:hint="eastAsia"/>
                <w:sz w:val="16"/>
              </w:rPr>
              <w:t>执行率（</w:t>
            </w:r>
            <w:r>
              <w:rPr>
                <w:sz w:val="16"/>
              </w:rPr>
              <w:t>B/A</w:t>
            </w:r>
            <w:r>
              <w:rPr>
                <w:rFonts w:hint="eastAsia"/>
                <w:sz w:val="16"/>
              </w:rPr>
              <w:t>）</w:t>
            </w:r>
          </w:p>
        </w:tc>
        <w:tc>
          <w:tcPr>
            <w:tcW w:w="792" w:type="dxa"/>
            <w:vAlign w:val="center"/>
          </w:tcPr>
          <w:p>
            <w:pPr>
              <w:jc w:val="center"/>
              <w:rPr>
                <w:sz w:val="16"/>
              </w:rPr>
            </w:pPr>
            <w:r>
              <w:rPr>
                <w:rFonts w:hint="eastAsia"/>
                <w:sz w:val="16"/>
              </w:rPr>
              <w:t>得分</w:t>
            </w:r>
          </w:p>
        </w:tc>
        <w:tc>
          <w:tcPr>
            <w:tcW w:w="1290" w:type="dxa"/>
            <w:gridSpan w:val="3"/>
            <w:vAlign w:val="center"/>
          </w:tcPr>
          <w:p>
            <w:pPr>
              <w:jc w:val="center"/>
              <w:rPr>
                <w:sz w:val="16"/>
              </w:rPr>
            </w:pPr>
            <w:r>
              <w:rPr>
                <w:rFonts w:hint="eastAsia"/>
                <w:sz w:val="16"/>
              </w:rPr>
              <w:t>得分计算方法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65" w:type="dxa"/>
            <w:gridSpan w:val="2"/>
            <w:vMerge w:val="continue"/>
            <w:vAlign w:val="center"/>
          </w:tcPr>
          <w:p>
            <w:pPr>
              <w:jc w:val="center"/>
              <w:rPr>
                <w:sz w:val="16"/>
              </w:rPr>
            </w:pPr>
          </w:p>
        </w:tc>
        <w:tc>
          <w:tcPr>
            <w:tcW w:w="1522" w:type="dxa"/>
            <w:gridSpan w:val="2"/>
            <w:vAlign w:val="center"/>
          </w:tcPr>
          <w:p>
            <w:pPr>
              <w:jc w:val="center"/>
              <w:rPr>
                <w:sz w:val="16"/>
              </w:rPr>
            </w:pPr>
            <w:r>
              <w:rPr>
                <w:rFonts w:hint="eastAsia"/>
                <w:sz w:val="16"/>
              </w:rPr>
              <w:t>年度资金总额：</w:t>
            </w:r>
          </w:p>
        </w:tc>
        <w:tc>
          <w:tcPr>
            <w:tcW w:w="834" w:type="dxa"/>
            <w:gridSpan w:val="2"/>
            <w:vAlign w:val="center"/>
          </w:tcPr>
          <w:p>
            <w:pPr>
              <w:jc w:val="center"/>
              <w:rPr>
                <w:sz w:val="16"/>
              </w:rPr>
            </w:pPr>
            <w:r>
              <w:rPr>
                <w:sz w:val="16"/>
              </w:rPr>
              <w:t>30</w:t>
            </w:r>
          </w:p>
        </w:tc>
        <w:tc>
          <w:tcPr>
            <w:tcW w:w="1088" w:type="dxa"/>
            <w:vAlign w:val="center"/>
          </w:tcPr>
          <w:p>
            <w:pPr>
              <w:jc w:val="center"/>
              <w:rPr>
                <w:sz w:val="16"/>
              </w:rPr>
            </w:pPr>
            <w:r>
              <w:rPr>
                <w:sz w:val="16"/>
              </w:rPr>
              <w:t>30</w:t>
            </w:r>
          </w:p>
        </w:tc>
        <w:tc>
          <w:tcPr>
            <w:tcW w:w="1180" w:type="dxa"/>
            <w:gridSpan w:val="2"/>
            <w:vAlign w:val="center"/>
          </w:tcPr>
          <w:p>
            <w:pPr>
              <w:jc w:val="center"/>
              <w:rPr>
                <w:sz w:val="16"/>
              </w:rPr>
            </w:pPr>
            <w:r>
              <w:rPr>
                <w:sz w:val="16"/>
              </w:rPr>
              <w:t>10</w:t>
            </w:r>
          </w:p>
        </w:tc>
        <w:tc>
          <w:tcPr>
            <w:tcW w:w="1680" w:type="dxa"/>
            <w:vAlign w:val="center"/>
          </w:tcPr>
          <w:p>
            <w:pPr>
              <w:jc w:val="center"/>
              <w:rPr>
                <w:sz w:val="16"/>
              </w:rPr>
            </w:pPr>
            <w:r>
              <w:rPr>
                <w:sz w:val="16"/>
              </w:rPr>
              <w:t>100</w:t>
            </w:r>
            <w:r>
              <w:rPr>
                <w:rFonts w:hint="eastAsia"/>
                <w:sz w:val="16"/>
              </w:rPr>
              <w:t>％</w:t>
            </w:r>
          </w:p>
        </w:tc>
        <w:tc>
          <w:tcPr>
            <w:tcW w:w="792" w:type="dxa"/>
            <w:vAlign w:val="center"/>
          </w:tcPr>
          <w:p>
            <w:pPr>
              <w:jc w:val="center"/>
              <w:rPr>
                <w:sz w:val="16"/>
              </w:rPr>
            </w:pPr>
            <w:r>
              <w:rPr>
                <w:sz w:val="16"/>
              </w:rPr>
              <w:t>10</w:t>
            </w:r>
          </w:p>
        </w:tc>
        <w:tc>
          <w:tcPr>
            <w:tcW w:w="236" w:type="dxa"/>
            <w:vAlign w:val="center"/>
          </w:tcPr>
          <w:p>
            <w:pPr>
              <w:jc w:val="center"/>
              <w:rPr>
                <w:sz w:val="16"/>
              </w:rPr>
            </w:pPr>
          </w:p>
        </w:tc>
        <w:tc>
          <w:tcPr>
            <w:tcW w:w="1054" w:type="dxa"/>
            <w:gridSpan w:val="2"/>
            <w:vMerge w:val="restart"/>
            <w:vAlign w:val="center"/>
          </w:tcPr>
          <w:p>
            <w:pPr>
              <w:jc w:val="center"/>
              <w:rPr>
                <w:sz w:val="16"/>
              </w:rPr>
            </w:pPr>
            <w:r>
              <w:rPr>
                <w:rFonts w:hint="eastAsia"/>
                <w:sz w:val="16"/>
              </w:rPr>
              <w:t>执行率</w:t>
            </w:r>
            <w:r>
              <w:rPr>
                <w:sz w:val="16"/>
              </w:rPr>
              <w:t>*</w:t>
            </w:r>
            <w:r>
              <w:rPr>
                <w:rFonts w:hint="eastAsia"/>
                <w:sz w:val="16"/>
              </w:rPr>
              <w:t>该指标分值，最高不得超过分值上限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5" w:type="dxa"/>
            <w:gridSpan w:val="2"/>
            <w:vMerge w:val="continue"/>
            <w:vAlign w:val="center"/>
          </w:tcPr>
          <w:p>
            <w:pPr>
              <w:jc w:val="center"/>
              <w:rPr>
                <w:sz w:val="16"/>
              </w:rPr>
            </w:pPr>
          </w:p>
        </w:tc>
        <w:tc>
          <w:tcPr>
            <w:tcW w:w="1522" w:type="dxa"/>
            <w:gridSpan w:val="2"/>
            <w:vAlign w:val="center"/>
          </w:tcPr>
          <w:p>
            <w:pPr>
              <w:jc w:val="center"/>
              <w:rPr>
                <w:sz w:val="16"/>
              </w:rPr>
            </w:pPr>
            <w:r>
              <w:rPr>
                <w:rFonts w:hint="eastAsia"/>
                <w:sz w:val="16"/>
              </w:rPr>
              <w:t>其中：本年一般公共预算拨款</w:t>
            </w:r>
          </w:p>
        </w:tc>
        <w:tc>
          <w:tcPr>
            <w:tcW w:w="834" w:type="dxa"/>
            <w:gridSpan w:val="2"/>
            <w:vAlign w:val="center"/>
          </w:tcPr>
          <w:p>
            <w:pPr>
              <w:jc w:val="center"/>
              <w:rPr>
                <w:sz w:val="16"/>
              </w:rPr>
            </w:pPr>
            <w:r>
              <w:rPr>
                <w:sz w:val="16"/>
              </w:rPr>
              <w:t>30</w:t>
            </w:r>
          </w:p>
        </w:tc>
        <w:tc>
          <w:tcPr>
            <w:tcW w:w="1088" w:type="dxa"/>
            <w:vAlign w:val="center"/>
          </w:tcPr>
          <w:p>
            <w:pPr>
              <w:jc w:val="center"/>
              <w:rPr>
                <w:sz w:val="16"/>
              </w:rPr>
            </w:pPr>
            <w:r>
              <w:rPr>
                <w:sz w:val="16"/>
              </w:rPr>
              <w:t>30</w:t>
            </w:r>
          </w:p>
        </w:tc>
        <w:tc>
          <w:tcPr>
            <w:tcW w:w="1180" w:type="dxa"/>
            <w:gridSpan w:val="2"/>
            <w:vAlign w:val="center"/>
          </w:tcPr>
          <w:p>
            <w:pPr>
              <w:jc w:val="center"/>
              <w:rPr>
                <w:sz w:val="16"/>
              </w:rPr>
            </w:pPr>
            <w:r>
              <w:rPr>
                <w:sz w:val="16"/>
              </w:rPr>
              <w:t>10</w:t>
            </w:r>
          </w:p>
        </w:tc>
        <w:tc>
          <w:tcPr>
            <w:tcW w:w="1680" w:type="dxa"/>
            <w:vAlign w:val="center"/>
          </w:tcPr>
          <w:p>
            <w:pPr>
              <w:jc w:val="center"/>
              <w:rPr>
                <w:sz w:val="16"/>
              </w:rPr>
            </w:pPr>
            <w:r>
              <w:rPr>
                <w:sz w:val="16"/>
              </w:rPr>
              <w:t>100</w:t>
            </w:r>
            <w:r>
              <w:rPr>
                <w:rFonts w:hint="eastAsia"/>
                <w:sz w:val="16"/>
              </w:rPr>
              <w:t>％</w:t>
            </w:r>
          </w:p>
        </w:tc>
        <w:tc>
          <w:tcPr>
            <w:tcW w:w="792" w:type="dxa"/>
            <w:vAlign w:val="center"/>
          </w:tcPr>
          <w:p>
            <w:pPr>
              <w:jc w:val="center"/>
              <w:rPr>
                <w:sz w:val="16"/>
              </w:rPr>
            </w:pPr>
            <w:r>
              <w:rPr>
                <w:sz w:val="16"/>
              </w:rPr>
              <w:t>10</w:t>
            </w:r>
          </w:p>
        </w:tc>
        <w:tc>
          <w:tcPr>
            <w:tcW w:w="236" w:type="dxa"/>
            <w:vAlign w:val="center"/>
          </w:tcPr>
          <w:p>
            <w:pPr>
              <w:jc w:val="center"/>
              <w:rPr>
                <w:sz w:val="16"/>
              </w:rPr>
            </w:pPr>
          </w:p>
        </w:tc>
        <w:tc>
          <w:tcPr>
            <w:tcW w:w="1054" w:type="dxa"/>
            <w:gridSpan w:val="2"/>
            <w:vMerge w:val="continue"/>
            <w:vAlign w:val="center"/>
          </w:tcPr>
          <w:p>
            <w:pPr>
              <w:jc w:val="center"/>
              <w:rPr>
                <w:sz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5" w:type="dxa"/>
            <w:gridSpan w:val="2"/>
            <w:vMerge w:val="continue"/>
            <w:vAlign w:val="center"/>
          </w:tcPr>
          <w:p>
            <w:pPr>
              <w:jc w:val="center"/>
              <w:rPr>
                <w:sz w:val="16"/>
              </w:rPr>
            </w:pPr>
          </w:p>
        </w:tc>
        <w:tc>
          <w:tcPr>
            <w:tcW w:w="1522" w:type="dxa"/>
            <w:gridSpan w:val="2"/>
            <w:vAlign w:val="center"/>
          </w:tcPr>
          <w:p>
            <w:pPr>
              <w:jc w:val="center"/>
              <w:rPr>
                <w:sz w:val="16"/>
              </w:rPr>
            </w:pPr>
            <w:r>
              <w:rPr>
                <w:rFonts w:hint="eastAsia"/>
                <w:sz w:val="16"/>
              </w:rPr>
              <w:t>其他资金</w:t>
            </w:r>
          </w:p>
        </w:tc>
        <w:tc>
          <w:tcPr>
            <w:tcW w:w="834" w:type="dxa"/>
            <w:gridSpan w:val="2"/>
            <w:vAlign w:val="center"/>
          </w:tcPr>
          <w:p>
            <w:pPr>
              <w:jc w:val="center"/>
              <w:rPr>
                <w:sz w:val="16"/>
              </w:rPr>
            </w:pPr>
          </w:p>
        </w:tc>
        <w:tc>
          <w:tcPr>
            <w:tcW w:w="1088" w:type="dxa"/>
            <w:vAlign w:val="center"/>
          </w:tcPr>
          <w:p>
            <w:pPr>
              <w:jc w:val="center"/>
              <w:rPr>
                <w:sz w:val="16"/>
              </w:rPr>
            </w:pPr>
          </w:p>
        </w:tc>
        <w:tc>
          <w:tcPr>
            <w:tcW w:w="1180" w:type="dxa"/>
            <w:gridSpan w:val="2"/>
            <w:vAlign w:val="center"/>
          </w:tcPr>
          <w:p>
            <w:pPr>
              <w:jc w:val="center"/>
              <w:rPr>
                <w:sz w:val="16"/>
              </w:rPr>
            </w:pPr>
          </w:p>
        </w:tc>
        <w:tc>
          <w:tcPr>
            <w:tcW w:w="1680" w:type="dxa"/>
            <w:vAlign w:val="center"/>
          </w:tcPr>
          <w:p>
            <w:pPr>
              <w:jc w:val="center"/>
              <w:rPr>
                <w:sz w:val="16"/>
              </w:rPr>
            </w:pPr>
          </w:p>
        </w:tc>
        <w:tc>
          <w:tcPr>
            <w:tcW w:w="792" w:type="dxa"/>
            <w:vAlign w:val="center"/>
          </w:tcPr>
          <w:p>
            <w:pPr>
              <w:jc w:val="center"/>
              <w:rPr>
                <w:sz w:val="16"/>
              </w:rPr>
            </w:pPr>
          </w:p>
        </w:tc>
        <w:tc>
          <w:tcPr>
            <w:tcW w:w="236" w:type="dxa"/>
            <w:vAlign w:val="center"/>
          </w:tcPr>
          <w:p>
            <w:pPr>
              <w:jc w:val="center"/>
              <w:rPr>
                <w:sz w:val="16"/>
              </w:rPr>
            </w:pPr>
          </w:p>
        </w:tc>
        <w:tc>
          <w:tcPr>
            <w:tcW w:w="1054" w:type="dxa"/>
            <w:gridSpan w:val="2"/>
            <w:vMerge w:val="continue"/>
            <w:vAlign w:val="center"/>
          </w:tcPr>
          <w:p>
            <w:pPr>
              <w:jc w:val="center"/>
              <w:rPr>
                <w:sz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restart"/>
            <w:vAlign w:val="center"/>
          </w:tcPr>
          <w:p>
            <w:pPr>
              <w:jc w:val="center"/>
              <w:rPr>
                <w:sz w:val="16"/>
              </w:rPr>
            </w:pPr>
            <w:r>
              <w:rPr>
                <w:rFonts w:hint="eastAsia"/>
                <w:sz w:val="16"/>
              </w:rPr>
              <w:t>绩效指标</w:t>
            </w:r>
          </w:p>
        </w:tc>
        <w:tc>
          <w:tcPr>
            <w:tcW w:w="1089" w:type="dxa"/>
            <w:vAlign w:val="center"/>
          </w:tcPr>
          <w:p>
            <w:pPr>
              <w:jc w:val="center"/>
              <w:rPr>
                <w:sz w:val="16"/>
              </w:rPr>
            </w:pPr>
            <w:r>
              <w:rPr>
                <w:rFonts w:hint="eastAsia"/>
                <w:sz w:val="16"/>
              </w:rPr>
              <w:t>一级指标</w:t>
            </w:r>
          </w:p>
        </w:tc>
        <w:tc>
          <w:tcPr>
            <w:tcW w:w="588" w:type="dxa"/>
            <w:vAlign w:val="center"/>
          </w:tcPr>
          <w:p>
            <w:pPr>
              <w:jc w:val="center"/>
              <w:rPr>
                <w:sz w:val="16"/>
              </w:rPr>
            </w:pPr>
            <w:r>
              <w:rPr>
                <w:rFonts w:hint="eastAsia"/>
                <w:sz w:val="16"/>
              </w:rPr>
              <w:t>分值</w:t>
            </w:r>
          </w:p>
        </w:tc>
        <w:tc>
          <w:tcPr>
            <w:tcW w:w="1059" w:type="dxa"/>
            <w:gridSpan w:val="2"/>
            <w:vAlign w:val="center"/>
          </w:tcPr>
          <w:p>
            <w:pPr>
              <w:jc w:val="center"/>
              <w:rPr>
                <w:sz w:val="16"/>
              </w:rPr>
            </w:pPr>
            <w:r>
              <w:rPr>
                <w:rFonts w:hint="eastAsia"/>
                <w:sz w:val="16"/>
              </w:rPr>
              <w:t>二级指标</w:t>
            </w:r>
          </w:p>
        </w:tc>
        <w:tc>
          <w:tcPr>
            <w:tcW w:w="709" w:type="dxa"/>
            <w:vAlign w:val="center"/>
          </w:tcPr>
          <w:p>
            <w:pPr>
              <w:jc w:val="center"/>
              <w:rPr>
                <w:sz w:val="16"/>
              </w:rPr>
            </w:pPr>
            <w:r>
              <w:rPr>
                <w:rFonts w:hint="eastAsia"/>
                <w:sz w:val="16"/>
              </w:rPr>
              <w:t>分值</w:t>
            </w:r>
          </w:p>
        </w:tc>
        <w:tc>
          <w:tcPr>
            <w:tcW w:w="1559" w:type="dxa"/>
            <w:gridSpan w:val="2"/>
            <w:vAlign w:val="center"/>
          </w:tcPr>
          <w:p>
            <w:pPr>
              <w:jc w:val="center"/>
              <w:rPr>
                <w:sz w:val="16"/>
              </w:rPr>
            </w:pPr>
            <w:r>
              <w:rPr>
                <w:rFonts w:hint="eastAsia"/>
                <w:sz w:val="16"/>
              </w:rPr>
              <w:t>三级指标</w:t>
            </w:r>
          </w:p>
        </w:tc>
        <w:tc>
          <w:tcPr>
            <w:tcW w:w="709" w:type="dxa"/>
            <w:vAlign w:val="center"/>
          </w:tcPr>
          <w:p>
            <w:pPr>
              <w:jc w:val="center"/>
              <w:rPr>
                <w:sz w:val="16"/>
              </w:rPr>
            </w:pPr>
            <w:r>
              <w:rPr>
                <w:rFonts w:hint="eastAsia"/>
                <w:sz w:val="16"/>
              </w:rPr>
              <w:t>分值</w:t>
            </w:r>
          </w:p>
        </w:tc>
        <w:tc>
          <w:tcPr>
            <w:tcW w:w="2977" w:type="dxa"/>
            <w:gridSpan w:val="4"/>
            <w:vAlign w:val="center"/>
          </w:tcPr>
          <w:p>
            <w:pPr>
              <w:jc w:val="center"/>
              <w:rPr>
                <w:sz w:val="16"/>
              </w:rPr>
            </w:pPr>
            <w:r>
              <w:rPr>
                <w:rFonts w:hint="eastAsia"/>
                <w:sz w:val="16"/>
              </w:rPr>
              <w:t>说明</w:t>
            </w:r>
          </w:p>
        </w:tc>
        <w:tc>
          <w:tcPr>
            <w:tcW w:w="785" w:type="dxa"/>
            <w:vAlign w:val="center"/>
          </w:tcPr>
          <w:p>
            <w:pPr>
              <w:jc w:val="center"/>
              <w:rPr>
                <w:sz w:val="16"/>
              </w:rPr>
            </w:pPr>
            <w:r>
              <w:rPr>
                <w:rFonts w:hint="eastAsia"/>
                <w:sz w:val="16"/>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76" w:type="dxa"/>
            <w:vMerge w:val="continue"/>
            <w:vAlign w:val="center"/>
          </w:tcPr>
          <w:p>
            <w:pPr>
              <w:jc w:val="center"/>
              <w:rPr>
                <w:sz w:val="16"/>
              </w:rPr>
            </w:pPr>
          </w:p>
        </w:tc>
        <w:tc>
          <w:tcPr>
            <w:tcW w:w="1089" w:type="dxa"/>
            <w:vMerge w:val="restart"/>
            <w:vAlign w:val="center"/>
          </w:tcPr>
          <w:p>
            <w:pPr>
              <w:jc w:val="center"/>
              <w:rPr>
                <w:sz w:val="16"/>
              </w:rPr>
            </w:pPr>
            <w:r>
              <w:rPr>
                <w:rFonts w:hint="eastAsia"/>
                <w:sz w:val="16"/>
              </w:rPr>
              <w:t>产出指标</w:t>
            </w:r>
          </w:p>
        </w:tc>
        <w:tc>
          <w:tcPr>
            <w:tcW w:w="588" w:type="dxa"/>
            <w:vMerge w:val="restart"/>
            <w:vAlign w:val="center"/>
          </w:tcPr>
          <w:p>
            <w:pPr>
              <w:jc w:val="center"/>
              <w:rPr>
                <w:sz w:val="16"/>
              </w:rPr>
            </w:pPr>
            <w:r>
              <w:rPr>
                <w:sz w:val="16"/>
              </w:rPr>
              <w:t>50</w:t>
            </w:r>
          </w:p>
          <w:p>
            <w:pPr>
              <w:jc w:val="center"/>
              <w:rPr>
                <w:sz w:val="16"/>
              </w:rPr>
            </w:pPr>
          </w:p>
        </w:tc>
        <w:tc>
          <w:tcPr>
            <w:tcW w:w="1059" w:type="dxa"/>
            <w:gridSpan w:val="2"/>
            <w:vMerge w:val="restart"/>
            <w:vAlign w:val="center"/>
          </w:tcPr>
          <w:p>
            <w:pPr>
              <w:jc w:val="center"/>
              <w:rPr>
                <w:sz w:val="16"/>
              </w:rPr>
            </w:pPr>
            <w:r>
              <w:rPr>
                <w:rFonts w:hint="eastAsia"/>
                <w:sz w:val="16"/>
              </w:rPr>
              <w:t>资金落实</w:t>
            </w:r>
          </w:p>
        </w:tc>
        <w:tc>
          <w:tcPr>
            <w:tcW w:w="709" w:type="dxa"/>
            <w:vMerge w:val="restart"/>
            <w:vAlign w:val="center"/>
          </w:tcPr>
          <w:p>
            <w:pPr>
              <w:jc w:val="center"/>
              <w:rPr>
                <w:sz w:val="16"/>
              </w:rPr>
            </w:pPr>
            <w:r>
              <w:rPr>
                <w:sz w:val="16"/>
              </w:rPr>
              <w:t>10</w:t>
            </w:r>
          </w:p>
        </w:tc>
        <w:tc>
          <w:tcPr>
            <w:tcW w:w="1559" w:type="dxa"/>
            <w:gridSpan w:val="2"/>
            <w:vAlign w:val="center"/>
          </w:tcPr>
          <w:p>
            <w:pPr>
              <w:jc w:val="center"/>
              <w:rPr>
                <w:sz w:val="16"/>
              </w:rPr>
            </w:pPr>
            <w:r>
              <w:rPr>
                <w:rFonts w:hint="eastAsia"/>
                <w:sz w:val="16"/>
              </w:rPr>
              <w:t>项目资金管理</w:t>
            </w:r>
          </w:p>
        </w:tc>
        <w:tc>
          <w:tcPr>
            <w:tcW w:w="709" w:type="dxa"/>
            <w:vAlign w:val="center"/>
          </w:tcPr>
          <w:p>
            <w:pPr>
              <w:jc w:val="center"/>
              <w:rPr>
                <w:sz w:val="16"/>
              </w:rPr>
            </w:pPr>
            <w:r>
              <w:rPr>
                <w:sz w:val="16"/>
              </w:rPr>
              <w:t>6</w:t>
            </w:r>
          </w:p>
        </w:tc>
        <w:tc>
          <w:tcPr>
            <w:tcW w:w="2977" w:type="dxa"/>
            <w:gridSpan w:val="4"/>
            <w:vAlign w:val="center"/>
          </w:tcPr>
          <w:p>
            <w:pPr>
              <w:jc w:val="center"/>
              <w:rPr>
                <w:sz w:val="16"/>
              </w:rPr>
            </w:pPr>
          </w:p>
        </w:tc>
        <w:tc>
          <w:tcPr>
            <w:tcW w:w="785" w:type="dxa"/>
            <w:vAlign w:val="center"/>
          </w:tcPr>
          <w:p>
            <w:pPr>
              <w:jc w:val="center"/>
              <w:rPr>
                <w:rFonts w:hint="eastAsia" w:eastAsiaTheme="minorEastAsia"/>
                <w:sz w:val="16"/>
                <w:lang w:eastAsia="zh-CN"/>
              </w:rPr>
            </w:pPr>
            <w:r>
              <w:rPr>
                <w:rFonts w:hint="eastAsia"/>
                <w:sz w:val="16"/>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vAlign w:val="center"/>
          </w:tcPr>
          <w:p>
            <w:pPr>
              <w:jc w:val="center"/>
              <w:rPr>
                <w:sz w:val="16"/>
              </w:rPr>
            </w:pPr>
          </w:p>
        </w:tc>
        <w:tc>
          <w:tcPr>
            <w:tcW w:w="1089" w:type="dxa"/>
            <w:vMerge w:val="continue"/>
            <w:vAlign w:val="center"/>
          </w:tcPr>
          <w:p>
            <w:pPr>
              <w:jc w:val="center"/>
              <w:rPr>
                <w:sz w:val="16"/>
              </w:rPr>
            </w:pPr>
          </w:p>
        </w:tc>
        <w:tc>
          <w:tcPr>
            <w:tcW w:w="588" w:type="dxa"/>
            <w:vMerge w:val="continue"/>
            <w:vAlign w:val="center"/>
          </w:tcPr>
          <w:p>
            <w:pPr>
              <w:jc w:val="center"/>
              <w:rPr>
                <w:sz w:val="16"/>
              </w:rPr>
            </w:pPr>
          </w:p>
        </w:tc>
        <w:tc>
          <w:tcPr>
            <w:tcW w:w="1059" w:type="dxa"/>
            <w:gridSpan w:val="2"/>
            <w:vMerge w:val="continue"/>
            <w:vAlign w:val="center"/>
          </w:tcPr>
          <w:p>
            <w:pPr>
              <w:jc w:val="center"/>
              <w:rPr>
                <w:sz w:val="16"/>
              </w:rPr>
            </w:pPr>
          </w:p>
        </w:tc>
        <w:tc>
          <w:tcPr>
            <w:tcW w:w="709" w:type="dxa"/>
            <w:vMerge w:val="continue"/>
            <w:vAlign w:val="center"/>
          </w:tcPr>
          <w:p>
            <w:pPr>
              <w:jc w:val="center"/>
              <w:rPr>
                <w:sz w:val="16"/>
              </w:rPr>
            </w:pPr>
          </w:p>
        </w:tc>
        <w:tc>
          <w:tcPr>
            <w:tcW w:w="1559" w:type="dxa"/>
            <w:gridSpan w:val="2"/>
            <w:vAlign w:val="center"/>
          </w:tcPr>
          <w:p>
            <w:pPr>
              <w:jc w:val="center"/>
              <w:rPr>
                <w:sz w:val="16"/>
              </w:rPr>
            </w:pPr>
            <w:r>
              <w:rPr>
                <w:rFonts w:hint="eastAsia"/>
                <w:sz w:val="16"/>
              </w:rPr>
              <w:t>资金到位及时</w:t>
            </w:r>
          </w:p>
        </w:tc>
        <w:tc>
          <w:tcPr>
            <w:tcW w:w="709" w:type="dxa"/>
            <w:vAlign w:val="center"/>
          </w:tcPr>
          <w:p>
            <w:pPr>
              <w:jc w:val="center"/>
              <w:rPr>
                <w:sz w:val="16"/>
              </w:rPr>
            </w:pPr>
            <w:r>
              <w:rPr>
                <w:sz w:val="16"/>
              </w:rPr>
              <w:t>4</w:t>
            </w:r>
          </w:p>
        </w:tc>
        <w:tc>
          <w:tcPr>
            <w:tcW w:w="2977" w:type="dxa"/>
            <w:gridSpan w:val="4"/>
            <w:vAlign w:val="center"/>
          </w:tcPr>
          <w:p>
            <w:pPr>
              <w:jc w:val="center"/>
              <w:rPr>
                <w:sz w:val="16"/>
              </w:rPr>
            </w:pPr>
          </w:p>
        </w:tc>
        <w:tc>
          <w:tcPr>
            <w:tcW w:w="785" w:type="dxa"/>
            <w:vAlign w:val="center"/>
          </w:tcPr>
          <w:p>
            <w:pPr>
              <w:jc w:val="center"/>
              <w:rPr>
                <w:sz w:val="16"/>
              </w:rPr>
            </w:pPr>
            <w:r>
              <w:rPr>
                <w:sz w:val="16"/>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vAlign w:val="center"/>
          </w:tcPr>
          <w:p>
            <w:pPr>
              <w:jc w:val="center"/>
              <w:rPr>
                <w:sz w:val="16"/>
              </w:rPr>
            </w:pPr>
          </w:p>
        </w:tc>
        <w:tc>
          <w:tcPr>
            <w:tcW w:w="1089" w:type="dxa"/>
            <w:vMerge w:val="continue"/>
            <w:vAlign w:val="center"/>
          </w:tcPr>
          <w:p>
            <w:pPr>
              <w:jc w:val="center"/>
              <w:rPr>
                <w:sz w:val="16"/>
              </w:rPr>
            </w:pPr>
          </w:p>
        </w:tc>
        <w:tc>
          <w:tcPr>
            <w:tcW w:w="588" w:type="dxa"/>
            <w:vMerge w:val="continue"/>
            <w:vAlign w:val="center"/>
          </w:tcPr>
          <w:p>
            <w:pPr>
              <w:jc w:val="center"/>
              <w:rPr>
                <w:sz w:val="16"/>
              </w:rPr>
            </w:pPr>
          </w:p>
        </w:tc>
        <w:tc>
          <w:tcPr>
            <w:tcW w:w="1059" w:type="dxa"/>
            <w:gridSpan w:val="2"/>
            <w:vMerge w:val="restart"/>
            <w:vAlign w:val="center"/>
          </w:tcPr>
          <w:p>
            <w:pPr>
              <w:jc w:val="center"/>
              <w:rPr>
                <w:sz w:val="16"/>
              </w:rPr>
            </w:pPr>
            <w:r>
              <w:rPr>
                <w:rFonts w:hint="eastAsia"/>
                <w:sz w:val="16"/>
              </w:rPr>
              <w:t>项目管理</w:t>
            </w:r>
          </w:p>
        </w:tc>
        <w:tc>
          <w:tcPr>
            <w:tcW w:w="709" w:type="dxa"/>
            <w:vMerge w:val="restart"/>
            <w:vAlign w:val="center"/>
          </w:tcPr>
          <w:p>
            <w:pPr>
              <w:jc w:val="center"/>
              <w:rPr>
                <w:sz w:val="16"/>
              </w:rPr>
            </w:pPr>
            <w:r>
              <w:rPr>
                <w:sz w:val="16"/>
              </w:rPr>
              <w:t>10</w:t>
            </w:r>
          </w:p>
        </w:tc>
        <w:tc>
          <w:tcPr>
            <w:tcW w:w="1559" w:type="dxa"/>
            <w:gridSpan w:val="2"/>
            <w:vAlign w:val="center"/>
          </w:tcPr>
          <w:p>
            <w:pPr>
              <w:jc w:val="center"/>
              <w:rPr>
                <w:sz w:val="16"/>
              </w:rPr>
            </w:pPr>
            <w:r>
              <w:rPr>
                <w:rFonts w:hint="eastAsia"/>
                <w:sz w:val="16"/>
              </w:rPr>
              <w:t>资料报送情况</w:t>
            </w:r>
          </w:p>
        </w:tc>
        <w:tc>
          <w:tcPr>
            <w:tcW w:w="709" w:type="dxa"/>
            <w:vAlign w:val="center"/>
          </w:tcPr>
          <w:p>
            <w:pPr>
              <w:jc w:val="center"/>
              <w:rPr>
                <w:sz w:val="16"/>
              </w:rPr>
            </w:pPr>
            <w:r>
              <w:rPr>
                <w:sz w:val="16"/>
              </w:rPr>
              <w:t>4</w:t>
            </w:r>
          </w:p>
        </w:tc>
        <w:tc>
          <w:tcPr>
            <w:tcW w:w="2977" w:type="dxa"/>
            <w:gridSpan w:val="4"/>
            <w:vAlign w:val="center"/>
          </w:tcPr>
          <w:p>
            <w:pPr>
              <w:jc w:val="center"/>
              <w:rPr>
                <w:sz w:val="16"/>
              </w:rPr>
            </w:pPr>
          </w:p>
        </w:tc>
        <w:tc>
          <w:tcPr>
            <w:tcW w:w="785" w:type="dxa"/>
            <w:vAlign w:val="center"/>
          </w:tcPr>
          <w:p>
            <w:pPr>
              <w:jc w:val="center"/>
              <w:rPr>
                <w:rFonts w:hint="eastAsia" w:eastAsiaTheme="minorEastAsia"/>
                <w:sz w:val="16"/>
                <w:lang w:eastAsia="zh-CN"/>
              </w:rPr>
            </w:pPr>
            <w:r>
              <w:rPr>
                <w:rFonts w:hint="eastAsia"/>
                <w:sz w:val="16"/>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vAlign w:val="center"/>
          </w:tcPr>
          <w:p>
            <w:pPr>
              <w:jc w:val="center"/>
              <w:rPr>
                <w:sz w:val="16"/>
              </w:rPr>
            </w:pPr>
          </w:p>
        </w:tc>
        <w:tc>
          <w:tcPr>
            <w:tcW w:w="1089" w:type="dxa"/>
            <w:vMerge w:val="continue"/>
            <w:vAlign w:val="center"/>
          </w:tcPr>
          <w:p>
            <w:pPr>
              <w:jc w:val="center"/>
              <w:rPr>
                <w:sz w:val="16"/>
              </w:rPr>
            </w:pPr>
          </w:p>
        </w:tc>
        <w:tc>
          <w:tcPr>
            <w:tcW w:w="588" w:type="dxa"/>
            <w:vMerge w:val="continue"/>
            <w:vAlign w:val="center"/>
          </w:tcPr>
          <w:p>
            <w:pPr>
              <w:jc w:val="center"/>
              <w:rPr>
                <w:sz w:val="16"/>
              </w:rPr>
            </w:pPr>
          </w:p>
        </w:tc>
        <w:tc>
          <w:tcPr>
            <w:tcW w:w="1059" w:type="dxa"/>
            <w:gridSpan w:val="2"/>
            <w:vMerge w:val="continue"/>
            <w:vAlign w:val="center"/>
          </w:tcPr>
          <w:p>
            <w:pPr>
              <w:jc w:val="center"/>
              <w:rPr>
                <w:sz w:val="16"/>
              </w:rPr>
            </w:pPr>
          </w:p>
        </w:tc>
        <w:tc>
          <w:tcPr>
            <w:tcW w:w="709" w:type="dxa"/>
            <w:vMerge w:val="continue"/>
            <w:vAlign w:val="center"/>
          </w:tcPr>
          <w:p>
            <w:pPr>
              <w:jc w:val="center"/>
              <w:rPr>
                <w:sz w:val="16"/>
              </w:rPr>
            </w:pPr>
          </w:p>
        </w:tc>
        <w:tc>
          <w:tcPr>
            <w:tcW w:w="1559" w:type="dxa"/>
            <w:gridSpan w:val="2"/>
            <w:vAlign w:val="center"/>
          </w:tcPr>
          <w:p>
            <w:pPr>
              <w:jc w:val="center"/>
              <w:rPr>
                <w:sz w:val="16"/>
              </w:rPr>
            </w:pPr>
            <w:r>
              <w:rPr>
                <w:rFonts w:hint="eastAsia"/>
                <w:sz w:val="16"/>
              </w:rPr>
              <w:t>项目管理规范</w:t>
            </w:r>
          </w:p>
        </w:tc>
        <w:tc>
          <w:tcPr>
            <w:tcW w:w="709" w:type="dxa"/>
            <w:vAlign w:val="center"/>
          </w:tcPr>
          <w:p>
            <w:pPr>
              <w:jc w:val="center"/>
              <w:rPr>
                <w:sz w:val="16"/>
              </w:rPr>
            </w:pPr>
            <w:r>
              <w:rPr>
                <w:sz w:val="16"/>
              </w:rPr>
              <w:t>2</w:t>
            </w:r>
          </w:p>
        </w:tc>
        <w:tc>
          <w:tcPr>
            <w:tcW w:w="2977" w:type="dxa"/>
            <w:gridSpan w:val="4"/>
            <w:vAlign w:val="center"/>
          </w:tcPr>
          <w:p>
            <w:pPr>
              <w:jc w:val="center"/>
              <w:rPr>
                <w:sz w:val="16"/>
              </w:rPr>
            </w:pPr>
          </w:p>
        </w:tc>
        <w:tc>
          <w:tcPr>
            <w:tcW w:w="785" w:type="dxa"/>
            <w:vAlign w:val="center"/>
          </w:tcPr>
          <w:p>
            <w:pPr>
              <w:jc w:val="center"/>
              <w:rPr>
                <w:rFonts w:hint="eastAsia" w:eastAsiaTheme="minorEastAsia"/>
                <w:sz w:val="16"/>
                <w:lang w:eastAsia="zh-CN"/>
              </w:rPr>
            </w:pPr>
            <w:r>
              <w:rPr>
                <w:rFonts w:hint="eastAsia"/>
                <w:sz w:val="16"/>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76" w:type="dxa"/>
            <w:vMerge w:val="continue"/>
            <w:vAlign w:val="center"/>
          </w:tcPr>
          <w:p>
            <w:pPr>
              <w:jc w:val="center"/>
              <w:rPr>
                <w:sz w:val="16"/>
              </w:rPr>
            </w:pPr>
          </w:p>
        </w:tc>
        <w:tc>
          <w:tcPr>
            <w:tcW w:w="1089" w:type="dxa"/>
            <w:vMerge w:val="continue"/>
            <w:vAlign w:val="center"/>
          </w:tcPr>
          <w:p>
            <w:pPr>
              <w:jc w:val="center"/>
              <w:rPr>
                <w:sz w:val="16"/>
              </w:rPr>
            </w:pPr>
          </w:p>
        </w:tc>
        <w:tc>
          <w:tcPr>
            <w:tcW w:w="588" w:type="dxa"/>
            <w:vMerge w:val="continue"/>
            <w:vAlign w:val="center"/>
          </w:tcPr>
          <w:p>
            <w:pPr>
              <w:jc w:val="center"/>
              <w:rPr>
                <w:sz w:val="16"/>
              </w:rPr>
            </w:pPr>
          </w:p>
        </w:tc>
        <w:tc>
          <w:tcPr>
            <w:tcW w:w="1059" w:type="dxa"/>
            <w:gridSpan w:val="2"/>
            <w:vMerge w:val="continue"/>
            <w:vAlign w:val="center"/>
          </w:tcPr>
          <w:p>
            <w:pPr>
              <w:jc w:val="center"/>
              <w:rPr>
                <w:sz w:val="16"/>
              </w:rPr>
            </w:pPr>
          </w:p>
        </w:tc>
        <w:tc>
          <w:tcPr>
            <w:tcW w:w="709" w:type="dxa"/>
            <w:vMerge w:val="continue"/>
            <w:vAlign w:val="center"/>
          </w:tcPr>
          <w:p>
            <w:pPr>
              <w:jc w:val="center"/>
              <w:rPr>
                <w:sz w:val="16"/>
              </w:rPr>
            </w:pPr>
          </w:p>
        </w:tc>
        <w:tc>
          <w:tcPr>
            <w:tcW w:w="1559" w:type="dxa"/>
            <w:gridSpan w:val="2"/>
            <w:vAlign w:val="center"/>
          </w:tcPr>
          <w:p>
            <w:pPr>
              <w:jc w:val="center"/>
              <w:rPr>
                <w:sz w:val="16"/>
              </w:rPr>
            </w:pPr>
            <w:r>
              <w:rPr>
                <w:rFonts w:hint="eastAsia"/>
                <w:sz w:val="16"/>
              </w:rPr>
              <w:t>项目监督检查</w:t>
            </w:r>
          </w:p>
        </w:tc>
        <w:tc>
          <w:tcPr>
            <w:tcW w:w="709" w:type="dxa"/>
            <w:vAlign w:val="center"/>
          </w:tcPr>
          <w:p>
            <w:pPr>
              <w:jc w:val="center"/>
              <w:rPr>
                <w:sz w:val="16"/>
              </w:rPr>
            </w:pPr>
            <w:r>
              <w:rPr>
                <w:sz w:val="16"/>
              </w:rPr>
              <w:t>4</w:t>
            </w:r>
          </w:p>
        </w:tc>
        <w:tc>
          <w:tcPr>
            <w:tcW w:w="2977" w:type="dxa"/>
            <w:gridSpan w:val="4"/>
            <w:vAlign w:val="center"/>
          </w:tcPr>
          <w:p>
            <w:pPr>
              <w:jc w:val="center"/>
              <w:rPr>
                <w:sz w:val="16"/>
              </w:rPr>
            </w:pPr>
          </w:p>
        </w:tc>
        <w:tc>
          <w:tcPr>
            <w:tcW w:w="785" w:type="dxa"/>
            <w:vAlign w:val="center"/>
          </w:tcPr>
          <w:p>
            <w:pPr>
              <w:jc w:val="center"/>
              <w:rPr>
                <w:rFonts w:hint="eastAsia" w:eastAsiaTheme="minorEastAsia"/>
                <w:sz w:val="16"/>
                <w:lang w:eastAsia="zh-CN"/>
              </w:rPr>
            </w:pPr>
            <w:r>
              <w:rPr>
                <w:rFonts w:hint="eastAsia"/>
                <w:sz w:val="16"/>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vAlign w:val="center"/>
          </w:tcPr>
          <w:p>
            <w:pPr>
              <w:jc w:val="center"/>
              <w:rPr>
                <w:sz w:val="16"/>
              </w:rPr>
            </w:pPr>
          </w:p>
        </w:tc>
        <w:tc>
          <w:tcPr>
            <w:tcW w:w="1089" w:type="dxa"/>
            <w:vMerge w:val="continue"/>
            <w:vAlign w:val="center"/>
          </w:tcPr>
          <w:p>
            <w:pPr>
              <w:jc w:val="center"/>
              <w:rPr>
                <w:sz w:val="16"/>
              </w:rPr>
            </w:pPr>
          </w:p>
        </w:tc>
        <w:tc>
          <w:tcPr>
            <w:tcW w:w="588" w:type="dxa"/>
            <w:vMerge w:val="continue"/>
            <w:vAlign w:val="center"/>
          </w:tcPr>
          <w:p>
            <w:pPr>
              <w:jc w:val="center"/>
              <w:rPr>
                <w:sz w:val="16"/>
              </w:rPr>
            </w:pPr>
          </w:p>
        </w:tc>
        <w:tc>
          <w:tcPr>
            <w:tcW w:w="1059" w:type="dxa"/>
            <w:gridSpan w:val="2"/>
            <w:vMerge w:val="restart"/>
            <w:vAlign w:val="center"/>
          </w:tcPr>
          <w:p>
            <w:pPr>
              <w:jc w:val="center"/>
              <w:rPr>
                <w:sz w:val="16"/>
              </w:rPr>
            </w:pPr>
            <w:r>
              <w:rPr>
                <w:rFonts w:hint="eastAsia"/>
                <w:sz w:val="16"/>
              </w:rPr>
              <w:t>财务管理</w:t>
            </w:r>
          </w:p>
        </w:tc>
        <w:tc>
          <w:tcPr>
            <w:tcW w:w="709" w:type="dxa"/>
            <w:vMerge w:val="restart"/>
            <w:vAlign w:val="center"/>
          </w:tcPr>
          <w:p>
            <w:pPr>
              <w:jc w:val="center"/>
              <w:rPr>
                <w:sz w:val="16"/>
              </w:rPr>
            </w:pPr>
            <w:r>
              <w:rPr>
                <w:sz w:val="16"/>
              </w:rPr>
              <w:t>10</w:t>
            </w:r>
          </w:p>
        </w:tc>
        <w:tc>
          <w:tcPr>
            <w:tcW w:w="1559" w:type="dxa"/>
            <w:gridSpan w:val="2"/>
            <w:vAlign w:val="center"/>
          </w:tcPr>
          <w:p>
            <w:pPr>
              <w:jc w:val="center"/>
              <w:rPr>
                <w:sz w:val="16"/>
              </w:rPr>
            </w:pPr>
            <w:r>
              <w:rPr>
                <w:rFonts w:hint="eastAsia"/>
                <w:sz w:val="16"/>
              </w:rPr>
              <w:t>财务管理规范</w:t>
            </w:r>
          </w:p>
        </w:tc>
        <w:tc>
          <w:tcPr>
            <w:tcW w:w="709" w:type="dxa"/>
            <w:vAlign w:val="center"/>
          </w:tcPr>
          <w:p>
            <w:pPr>
              <w:jc w:val="center"/>
              <w:rPr>
                <w:sz w:val="16"/>
              </w:rPr>
            </w:pPr>
            <w:r>
              <w:rPr>
                <w:sz w:val="16"/>
              </w:rPr>
              <w:t>4</w:t>
            </w:r>
          </w:p>
        </w:tc>
        <w:tc>
          <w:tcPr>
            <w:tcW w:w="2977" w:type="dxa"/>
            <w:gridSpan w:val="4"/>
            <w:vAlign w:val="center"/>
          </w:tcPr>
          <w:p>
            <w:pPr>
              <w:jc w:val="center"/>
              <w:rPr>
                <w:sz w:val="16"/>
              </w:rPr>
            </w:pPr>
          </w:p>
        </w:tc>
        <w:tc>
          <w:tcPr>
            <w:tcW w:w="785" w:type="dxa"/>
            <w:vAlign w:val="center"/>
          </w:tcPr>
          <w:p>
            <w:pPr>
              <w:jc w:val="center"/>
              <w:rPr>
                <w:rFonts w:hint="eastAsia" w:eastAsiaTheme="minorEastAsia"/>
                <w:sz w:val="16"/>
                <w:lang w:val="en-US" w:eastAsia="zh-CN"/>
              </w:rPr>
            </w:pPr>
            <w:r>
              <w:rPr>
                <w:rFonts w:hint="eastAsia"/>
                <w:sz w:val="16"/>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vAlign w:val="center"/>
          </w:tcPr>
          <w:p>
            <w:pPr>
              <w:jc w:val="center"/>
              <w:rPr>
                <w:sz w:val="16"/>
              </w:rPr>
            </w:pPr>
          </w:p>
        </w:tc>
        <w:tc>
          <w:tcPr>
            <w:tcW w:w="1089" w:type="dxa"/>
            <w:vMerge w:val="continue"/>
            <w:vAlign w:val="center"/>
          </w:tcPr>
          <w:p>
            <w:pPr>
              <w:jc w:val="center"/>
              <w:rPr>
                <w:sz w:val="16"/>
              </w:rPr>
            </w:pPr>
          </w:p>
        </w:tc>
        <w:tc>
          <w:tcPr>
            <w:tcW w:w="588" w:type="dxa"/>
            <w:vMerge w:val="continue"/>
            <w:vAlign w:val="center"/>
          </w:tcPr>
          <w:p>
            <w:pPr>
              <w:jc w:val="center"/>
              <w:rPr>
                <w:sz w:val="16"/>
              </w:rPr>
            </w:pPr>
          </w:p>
        </w:tc>
        <w:tc>
          <w:tcPr>
            <w:tcW w:w="1059" w:type="dxa"/>
            <w:gridSpan w:val="2"/>
            <w:vMerge w:val="continue"/>
            <w:vAlign w:val="center"/>
          </w:tcPr>
          <w:p>
            <w:pPr>
              <w:jc w:val="center"/>
              <w:rPr>
                <w:sz w:val="16"/>
              </w:rPr>
            </w:pPr>
          </w:p>
        </w:tc>
        <w:tc>
          <w:tcPr>
            <w:tcW w:w="709" w:type="dxa"/>
            <w:vMerge w:val="continue"/>
            <w:vAlign w:val="center"/>
          </w:tcPr>
          <w:p>
            <w:pPr>
              <w:jc w:val="center"/>
              <w:rPr>
                <w:sz w:val="16"/>
              </w:rPr>
            </w:pPr>
          </w:p>
        </w:tc>
        <w:tc>
          <w:tcPr>
            <w:tcW w:w="1559" w:type="dxa"/>
            <w:gridSpan w:val="2"/>
            <w:vAlign w:val="center"/>
          </w:tcPr>
          <w:p>
            <w:pPr>
              <w:jc w:val="center"/>
              <w:rPr>
                <w:sz w:val="16"/>
              </w:rPr>
            </w:pPr>
            <w:r>
              <w:rPr>
                <w:rFonts w:hint="eastAsia"/>
                <w:sz w:val="16"/>
              </w:rPr>
              <w:t>资金使用合规</w:t>
            </w:r>
          </w:p>
        </w:tc>
        <w:tc>
          <w:tcPr>
            <w:tcW w:w="709" w:type="dxa"/>
            <w:vAlign w:val="center"/>
          </w:tcPr>
          <w:p>
            <w:pPr>
              <w:jc w:val="center"/>
              <w:rPr>
                <w:sz w:val="16"/>
              </w:rPr>
            </w:pPr>
            <w:r>
              <w:rPr>
                <w:sz w:val="16"/>
              </w:rPr>
              <w:t>6</w:t>
            </w:r>
          </w:p>
        </w:tc>
        <w:tc>
          <w:tcPr>
            <w:tcW w:w="2977" w:type="dxa"/>
            <w:gridSpan w:val="4"/>
            <w:vAlign w:val="center"/>
          </w:tcPr>
          <w:p>
            <w:pPr>
              <w:jc w:val="center"/>
              <w:rPr>
                <w:sz w:val="16"/>
              </w:rPr>
            </w:pPr>
          </w:p>
        </w:tc>
        <w:tc>
          <w:tcPr>
            <w:tcW w:w="785" w:type="dxa"/>
            <w:vAlign w:val="center"/>
          </w:tcPr>
          <w:p>
            <w:pPr>
              <w:jc w:val="center"/>
              <w:rPr>
                <w:rFonts w:hint="eastAsia" w:eastAsiaTheme="minorEastAsia"/>
                <w:sz w:val="16"/>
                <w:lang w:eastAsia="zh-CN"/>
              </w:rPr>
            </w:pPr>
            <w:r>
              <w:rPr>
                <w:rFonts w:hint="eastAsia"/>
                <w:sz w:val="16"/>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vAlign w:val="center"/>
          </w:tcPr>
          <w:p>
            <w:pPr>
              <w:jc w:val="center"/>
              <w:rPr>
                <w:sz w:val="16"/>
              </w:rPr>
            </w:pPr>
          </w:p>
        </w:tc>
        <w:tc>
          <w:tcPr>
            <w:tcW w:w="1089" w:type="dxa"/>
            <w:vMerge w:val="continue"/>
            <w:vAlign w:val="center"/>
          </w:tcPr>
          <w:p>
            <w:pPr>
              <w:jc w:val="center"/>
              <w:rPr>
                <w:sz w:val="16"/>
              </w:rPr>
            </w:pPr>
          </w:p>
        </w:tc>
        <w:tc>
          <w:tcPr>
            <w:tcW w:w="588" w:type="dxa"/>
            <w:vMerge w:val="continue"/>
            <w:vAlign w:val="center"/>
          </w:tcPr>
          <w:p>
            <w:pPr>
              <w:jc w:val="center"/>
              <w:rPr>
                <w:sz w:val="16"/>
              </w:rPr>
            </w:pPr>
          </w:p>
        </w:tc>
        <w:tc>
          <w:tcPr>
            <w:tcW w:w="1059" w:type="dxa"/>
            <w:gridSpan w:val="2"/>
            <w:vMerge w:val="restart"/>
            <w:vAlign w:val="center"/>
          </w:tcPr>
          <w:p>
            <w:pPr>
              <w:jc w:val="center"/>
              <w:rPr>
                <w:sz w:val="16"/>
              </w:rPr>
            </w:pPr>
            <w:r>
              <w:rPr>
                <w:rFonts w:hint="eastAsia"/>
                <w:sz w:val="16"/>
              </w:rPr>
              <w:t>项目产出</w:t>
            </w:r>
          </w:p>
        </w:tc>
        <w:tc>
          <w:tcPr>
            <w:tcW w:w="709" w:type="dxa"/>
            <w:vMerge w:val="restart"/>
            <w:vAlign w:val="center"/>
          </w:tcPr>
          <w:p>
            <w:pPr>
              <w:jc w:val="center"/>
              <w:rPr>
                <w:sz w:val="16"/>
              </w:rPr>
            </w:pPr>
            <w:r>
              <w:rPr>
                <w:sz w:val="16"/>
              </w:rPr>
              <w:t>20</w:t>
            </w:r>
          </w:p>
        </w:tc>
        <w:tc>
          <w:tcPr>
            <w:tcW w:w="1559" w:type="dxa"/>
            <w:gridSpan w:val="2"/>
            <w:vAlign w:val="center"/>
          </w:tcPr>
          <w:p>
            <w:pPr>
              <w:jc w:val="center"/>
              <w:rPr>
                <w:sz w:val="16"/>
              </w:rPr>
            </w:pPr>
            <w:r>
              <w:rPr>
                <w:rFonts w:hint="eastAsia"/>
                <w:sz w:val="16"/>
              </w:rPr>
              <w:t>完成内容一致</w:t>
            </w:r>
          </w:p>
        </w:tc>
        <w:tc>
          <w:tcPr>
            <w:tcW w:w="709" w:type="dxa"/>
            <w:vAlign w:val="center"/>
          </w:tcPr>
          <w:p>
            <w:pPr>
              <w:jc w:val="center"/>
              <w:rPr>
                <w:sz w:val="16"/>
              </w:rPr>
            </w:pPr>
            <w:r>
              <w:rPr>
                <w:sz w:val="16"/>
              </w:rPr>
              <w:t>10</w:t>
            </w:r>
          </w:p>
        </w:tc>
        <w:tc>
          <w:tcPr>
            <w:tcW w:w="2977" w:type="dxa"/>
            <w:gridSpan w:val="4"/>
            <w:vAlign w:val="center"/>
          </w:tcPr>
          <w:p>
            <w:pPr>
              <w:jc w:val="center"/>
              <w:rPr>
                <w:sz w:val="16"/>
              </w:rPr>
            </w:pPr>
          </w:p>
        </w:tc>
        <w:tc>
          <w:tcPr>
            <w:tcW w:w="785" w:type="dxa"/>
            <w:vAlign w:val="center"/>
          </w:tcPr>
          <w:p>
            <w:pPr>
              <w:jc w:val="center"/>
              <w:rPr>
                <w:rFonts w:hint="default" w:eastAsiaTheme="minorEastAsia"/>
                <w:sz w:val="16"/>
                <w:lang w:val="en-US" w:eastAsia="zh-CN"/>
              </w:rPr>
            </w:pPr>
            <w:r>
              <w:rPr>
                <w:rFonts w:hint="eastAsia"/>
                <w:sz w:val="16"/>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76" w:type="dxa"/>
            <w:vMerge w:val="continue"/>
            <w:vAlign w:val="center"/>
          </w:tcPr>
          <w:p>
            <w:pPr>
              <w:jc w:val="center"/>
              <w:rPr>
                <w:sz w:val="16"/>
              </w:rPr>
            </w:pPr>
          </w:p>
        </w:tc>
        <w:tc>
          <w:tcPr>
            <w:tcW w:w="1089" w:type="dxa"/>
            <w:vMerge w:val="continue"/>
            <w:vAlign w:val="center"/>
          </w:tcPr>
          <w:p>
            <w:pPr>
              <w:jc w:val="center"/>
              <w:rPr>
                <w:sz w:val="16"/>
              </w:rPr>
            </w:pPr>
          </w:p>
        </w:tc>
        <w:tc>
          <w:tcPr>
            <w:tcW w:w="588" w:type="dxa"/>
            <w:vMerge w:val="continue"/>
            <w:vAlign w:val="center"/>
          </w:tcPr>
          <w:p>
            <w:pPr>
              <w:jc w:val="center"/>
              <w:rPr>
                <w:sz w:val="16"/>
              </w:rPr>
            </w:pPr>
          </w:p>
        </w:tc>
        <w:tc>
          <w:tcPr>
            <w:tcW w:w="1059" w:type="dxa"/>
            <w:gridSpan w:val="2"/>
            <w:vMerge w:val="continue"/>
            <w:vAlign w:val="center"/>
          </w:tcPr>
          <w:p>
            <w:pPr>
              <w:jc w:val="center"/>
              <w:rPr>
                <w:sz w:val="16"/>
              </w:rPr>
            </w:pPr>
          </w:p>
        </w:tc>
        <w:tc>
          <w:tcPr>
            <w:tcW w:w="709" w:type="dxa"/>
            <w:vMerge w:val="continue"/>
            <w:vAlign w:val="center"/>
          </w:tcPr>
          <w:p>
            <w:pPr>
              <w:jc w:val="center"/>
              <w:rPr>
                <w:sz w:val="16"/>
              </w:rPr>
            </w:pPr>
          </w:p>
        </w:tc>
        <w:tc>
          <w:tcPr>
            <w:tcW w:w="1559" w:type="dxa"/>
            <w:gridSpan w:val="2"/>
            <w:vAlign w:val="center"/>
          </w:tcPr>
          <w:p>
            <w:pPr>
              <w:jc w:val="center"/>
              <w:rPr>
                <w:sz w:val="16"/>
              </w:rPr>
            </w:pPr>
            <w:r>
              <w:rPr>
                <w:rFonts w:hint="eastAsia"/>
                <w:sz w:val="16"/>
              </w:rPr>
              <w:t>项目目标实现</w:t>
            </w:r>
          </w:p>
        </w:tc>
        <w:tc>
          <w:tcPr>
            <w:tcW w:w="709" w:type="dxa"/>
            <w:vAlign w:val="center"/>
          </w:tcPr>
          <w:p>
            <w:pPr>
              <w:jc w:val="center"/>
              <w:rPr>
                <w:sz w:val="16"/>
              </w:rPr>
            </w:pPr>
            <w:r>
              <w:rPr>
                <w:sz w:val="16"/>
              </w:rPr>
              <w:t>10</w:t>
            </w:r>
          </w:p>
        </w:tc>
        <w:tc>
          <w:tcPr>
            <w:tcW w:w="2977" w:type="dxa"/>
            <w:gridSpan w:val="4"/>
            <w:vAlign w:val="center"/>
          </w:tcPr>
          <w:p>
            <w:pPr>
              <w:jc w:val="center"/>
              <w:rPr>
                <w:sz w:val="16"/>
              </w:rPr>
            </w:pPr>
          </w:p>
        </w:tc>
        <w:tc>
          <w:tcPr>
            <w:tcW w:w="785" w:type="dxa"/>
            <w:vAlign w:val="center"/>
          </w:tcPr>
          <w:p>
            <w:pPr>
              <w:jc w:val="center"/>
              <w:rPr>
                <w:rFonts w:hint="default" w:eastAsiaTheme="minorEastAsia"/>
                <w:sz w:val="16"/>
                <w:lang w:val="en-US" w:eastAsia="zh-CN"/>
              </w:rPr>
            </w:pPr>
            <w:r>
              <w:rPr>
                <w:rFonts w:hint="eastAsia"/>
                <w:sz w:val="16"/>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vAlign w:val="center"/>
          </w:tcPr>
          <w:p>
            <w:pPr>
              <w:jc w:val="center"/>
              <w:rPr>
                <w:sz w:val="16"/>
              </w:rPr>
            </w:pPr>
          </w:p>
        </w:tc>
        <w:tc>
          <w:tcPr>
            <w:tcW w:w="1089" w:type="dxa"/>
            <w:vMerge w:val="restart"/>
            <w:vAlign w:val="center"/>
          </w:tcPr>
          <w:p>
            <w:pPr>
              <w:jc w:val="center"/>
              <w:rPr>
                <w:sz w:val="16"/>
              </w:rPr>
            </w:pPr>
            <w:r>
              <w:rPr>
                <w:rFonts w:hint="eastAsia"/>
                <w:sz w:val="16"/>
              </w:rPr>
              <w:t>效益指标</w:t>
            </w:r>
          </w:p>
        </w:tc>
        <w:tc>
          <w:tcPr>
            <w:tcW w:w="588" w:type="dxa"/>
            <w:vMerge w:val="restart"/>
            <w:vAlign w:val="center"/>
          </w:tcPr>
          <w:p>
            <w:pPr>
              <w:jc w:val="center"/>
              <w:rPr>
                <w:sz w:val="16"/>
              </w:rPr>
            </w:pPr>
            <w:r>
              <w:rPr>
                <w:sz w:val="16"/>
              </w:rPr>
              <w:t>30</w:t>
            </w:r>
          </w:p>
        </w:tc>
        <w:tc>
          <w:tcPr>
            <w:tcW w:w="1059" w:type="dxa"/>
            <w:gridSpan w:val="2"/>
            <w:vMerge w:val="restart"/>
            <w:vAlign w:val="center"/>
          </w:tcPr>
          <w:p>
            <w:pPr>
              <w:jc w:val="center"/>
              <w:rPr>
                <w:sz w:val="16"/>
              </w:rPr>
            </w:pPr>
            <w:r>
              <w:rPr>
                <w:rFonts w:hint="eastAsia"/>
                <w:sz w:val="16"/>
              </w:rPr>
              <w:t>项目申报</w:t>
            </w:r>
          </w:p>
        </w:tc>
        <w:tc>
          <w:tcPr>
            <w:tcW w:w="709" w:type="dxa"/>
            <w:vMerge w:val="restart"/>
            <w:vAlign w:val="center"/>
          </w:tcPr>
          <w:p>
            <w:pPr>
              <w:jc w:val="center"/>
              <w:rPr>
                <w:sz w:val="16"/>
              </w:rPr>
            </w:pPr>
            <w:r>
              <w:rPr>
                <w:sz w:val="16"/>
              </w:rPr>
              <w:t>6</w:t>
            </w:r>
          </w:p>
        </w:tc>
        <w:tc>
          <w:tcPr>
            <w:tcW w:w="1559" w:type="dxa"/>
            <w:gridSpan w:val="2"/>
            <w:vAlign w:val="center"/>
          </w:tcPr>
          <w:p>
            <w:pPr>
              <w:jc w:val="center"/>
              <w:rPr>
                <w:sz w:val="16"/>
              </w:rPr>
            </w:pPr>
            <w:r>
              <w:rPr>
                <w:rFonts w:hint="eastAsia"/>
                <w:sz w:val="16"/>
              </w:rPr>
              <w:t>项目申报公开</w:t>
            </w:r>
          </w:p>
        </w:tc>
        <w:tc>
          <w:tcPr>
            <w:tcW w:w="709" w:type="dxa"/>
            <w:vAlign w:val="center"/>
          </w:tcPr>
          <w:p>
            <w:pPr>
              <w:jc w:val="center"/>
              <w:rPr>
                <w:sz w:val="16"/>
              </w:rPr>
            </w:pPr>
            <w:r>
              <w:rPr>
                <w:sz w:val="16"/>
              </w:rPr>
              <w:t>2</w:t>
            </w:r>
          </w:p>
        </w:tc>
        <w:tc>
          <w:tcPr>
            <w:tcW w:w="2977" w:type="dxa"/>
            <w:gridSpan w:val="4"/>
            <w:vAlign w:val="center"/>
          </w:tcPr>
          <w:p>
            <w:pPr>
              <w:jc w:val="center"/>
              <w:rPr>
                <w:sz w:val="16"/>
              </w:rPr>
            </w:pPr>
          </w:p>
        </w:tc>
        <w:tc>
          <w:tcPr>
            <w:tcW w:w="785" w:type="dxa"/>
            <w:vAlign w:val="center"/>
          </w:tcPr>
          <w:p>
            <w:pPr>
              <w:jc w:val="center"/>
              <w:rPr>
                <w:sz w:val="16"/>
              </w:rPr>
            </w:pPr>
            <w:r>
              <w:rPr>
                <w:sz w:val="16"/>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vAlign w:val="center"/>
          </w:tcPr>
          <w:p>
            <w:pPr>
              <w:jc w:val="center"/>
              <w:rPr>
                <w:sz w:val="16"/>
              </w:rPr>
            </w:pPr>
          </w:p>
        </w:tc>
        <w:tc>
          <w:tcPr>
            <w:tcW w:w="1089" w:type="dxa"/>
            <w:vMerge w:val="continue"/>
            <w:vAlign w:val="center"/>
          </w:tcPr>
          <w:p>
            <w:pPr>
              <w:jc w:val="center"/>
              <w:rPr>
                <w:sz w:val="16"/>
              </w:rPr>
            </w:pPr>
          </w:p>
        </w:tc>
        <w:tc>
          <w:tcPr>
            <w:tcW w:w="588" w:type="dxa"/>
            <w:vMerge w:val="continue"/>
            <w:vAlign w:val="center"/>
          </w:tcPr>
          <w:p>
            <w:pPr>
              <w:jc w:val="center"/>
              <w:rPr>
                <w:sz w:val="16"/>
              </w:rPr>
            </w:pPr>
          </w:p>
        </w:tc>
        <w:tc>
          <w:tcPr>
            <w:tcW w:w="1059" w:type="dxa"/>
            <w:gridSpan w:val="2"/>
            <w:vMerge w:val="continue"/>
            <w:vAlign w:val="center"/>
          </w:tcPr>
          <w:p>
            <w:pPr>
              <w:jc w:val="center"/>
              <w:rPr>
                <w:sz w:val="16"/>
              </w:rPr>
            </w:pPr>
          </w:p>
        </w:tc>
        <w:tc>
          <w:tcPr>
            <w:tcW w:w="709" w:type="dxa"/>
            <w:vMerge w:val="continue"/>
            <w:vAlign w:val="center"/>
          </w:tcPr>
          <w:p>
            <w:pPr>
              <w:jc w:val="center"/>
              <w:rPr>
                <w:sz w:val="16"/>
              </w:rPr>
            </w:pPr>
          </w:p>
        </w:tc>
        <w:tc>
          <w:tcPr>
            <w:tcW w:w="1559" w:type="dxa"/>
            <w:gridSpan w:val="2"/>
            <w:vAlign w:val="center"/>
          </w:tcPr>
          <w:p>
            <w:pPr>
              <w:jc w:val="center"/>
              <w:rPr>
                <w:sz w:val="16"/>
              </w:rPr>
            </w:pPr>
            <w:r>
              <w:rPr>
                <w:rFonts w:hint="eastAsia"/>
                <w:sz w:val="16"/>
              </w:rPr>
              <w:t>项目遴选评审</w:t>
            </w:r>
          </w:p>
        </w:tc>
        <w:tc>
          <w:tcPr>
            <w:tcW w:w="709" w:type="dxa"/>
            <w:vAlign w:val="center"/>
          </w:tcPr>
          <w:p>
            <w:pPr>
              <w:jc w:val="center"/>
              <w:rPr>
                <w:sz w:val="16"/>
              </w:rPr>
            </w:pPr>
            <w:r>
              <w:rPr>
                <w:sz w:val="16"/>
              </w:rPr>
              <w:t>4</w:t>
            </w:r>
          </w:p>
        </w:tc>
        <w:tc>
          <w:tcPr>
            <w:tcW w:w="2977" w:type="dxa"/>
            <w:gridSpan w:val="4"/>
            <w:vAlign w:val="center"/>
          </w:tcPr>
          <w:p>
            <w:pPr>
              <w:jc w:val="center"/>
              <w:rPr>
                <w:sz w:val="16"/>
              </w:rPr>
            </w:pPr>
          </w:p>
        </w:tc>
        <w:tc>
          <w:tcPr>
            <w:tcW w:w="785" w:type="dxa"/>
            <w:vAlign w:val="center"/>
          </w:tcPr>
          <w:p>
            <w:pPr>
              <w:jc w:val="center"/>
              <w:rPr>
                <w:rFonts w:hint="eastAsia" w:eastAsiaTheme="minorEastAsia"/>
                <w:sz w:val="16"/>
                <w:lang w:val="en-US" w:eastAsia="zh-CN"/>
              </w:rPr>
            </w:pPr>
            <w:r>
              <w:rPr>
                <w:rFonts w:hint="eastAsia"/>
                <w:sz w:val="16"/>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vAlign w:val="center"/>
          </w:tcPr>
          <w:p>
            <w:pPr>
              <w:jc w:val="center"/>
              <w:rPr>
                <w:sz w:val="16"/>
              </w:rPr>
            </w:pPr>
          </w:p>
        </w:tc>
        <w:tc>
          <w:tcPr>
            <w:tcW w:w="1089" w:type="dxa"/>
            <w:vMerge w:val="continue"/>
            <w:vAlign w:val="center"/>
          </w:tcPr>
          <w:p>
            <w:pPr>
              <w:jc w:val="center"/>
              <w:rPr>
                <w:sz w:val="16"/>
              </w:rPr>
            </w:pPr>
          </w:p>
        </w:tc>
        <w:tc>
          <w:tcPr>
            <w:tcW w:w="588" w:type="dxa"/>
            <w:vMerge w:val="continue"/>
            <w:vAlign w:val="center"/>
          </w:tcPr>
          <w:p>
            <w:pPr>
              <w:jc w:val="center"/>
              <w:rPr>
                <w:sz w:val="16"/>
              </w:rPr>
            </w:pPr>
          </w:p>
        </w:tc>
        <w:tc>
          <w:tcPr>
            <w:tcW w:w="1059" w:type="dxa"/>
            <w:gridSpan w:val="2"/>
            <w:vMerge w:val="restart"/>
            <w:vAlign w:val="center"/>
          </w:tcPr>
          <w:p>
            <w:pPr>
              <w:jc w:val="center"/>
              <w:rPr>
                <w:sz w:val="16"/>
              </w:rPr>
            </w:pPr>
            <w:r>
              <w:rPr>
                <w:rFonts w:hint="eastAsia"/>
                <w:sz w:val="16"/>
              </w:rPr>
              <w:t>项目效益</w:t>
            </w:r>
          </w:p>
        </w:tc>
        <w:tc>
          <w:tcPr>
            <w:tcW w:w="709" w:type="dxa"/>
            <w:vMerge w:val="restart"/>
            <w:vAlign w:val="center"/>
          </w:tcPr>
          <w:p>
            <w:pPr>
              <w:jc w:val="center"/>
              <w:rPr>
                <w:sz w:val="16"/>
              </w:rPr>
            </w:pPr>
            <w:r>
              <w:rPr>
                <w:sz w:val="16"/>
              </w:rPr>
              <w:t>24</w:t>
            </w:r>
          </w:p>
        </w:tc>
        <w:tc>
          <w:tcPr>
            <w:tcW w:w="1559" w:type="dxa"/>
            <w:gridSpan w:val="2"/>
            <w:vAlign w:val="center"/>
          </w:tcPr>
          <w:p>
            <w:pPr>
              <w:jc w:val="center"/>
              <w:rPr>
                <w:sz w:val="16"/>
              </w:rPr>
            </w:pPr>
            <w:r>
              <w:rPr>
                <w:rFonts w:hint="eastAsia"/>
                <w:sz w:val="16"/>
              </w:rPr>
              <w:t>经济效益</w:t>
            </w:r>
          </w:p>
        </w:tc>
        <w:tc>
          <w:tcPr>
            <w:tcW w:w="709" w:type="dxa"/>
            <w:vAlign w:val="center"/>
          </w:tcPr>
          <w:p>
            <w:pPr>
              <w:jc w:val="center"/>
              <w:rPr>
                <w:sz w:val="16"/>
              </w:rPr>
            </w:pPr>
            <w:r>
              <w:rPr>
                <w:sz w:val="16"/>
              </w:rPr>
              <w:t>8</w:t>
            </w:r>
          </w:p>
        </w:tc>
        <w:tc>
          <w:tcPr>
            <w:tcW w:w="2977" w:type="dxa"/>
            <w:gridSpan w:val="4"/>
            <w:vAlign w:val="center"/>
          </w:tcPr>
          <w:p>
            <w:pPr>
              <w:jc w:val="center"/>
              <w:rPr>
                <w:sz w:val="16"/>
              </w:rPr>
            </w:pPr>
          </w:p>
        </w:tc>
        <w:tc>
          <w:tcPr>
            <w:tcW w:w="785" w:type="dxa"/>
            <w:vAlign w:val="center"/>
          </w:tcPr>
          <w:p>
            <w:pPr>
              <w:jc w:val="center"/>
              <w:rPr>
                <w:rFonts w:hint="default"/>
                <w:sz w:val="16"/>
              </w:rPr>
            </w:pPr>
            <w:r>
              <w:rPr>
                <w:rFonts w:hint="default"/>
                <w:sz w:val="16"/>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76" w:type="dxa"/>
            <w:vMerge w:val="continue"/>
            <w:vAlign w:val="center"/>
          </w:tcPr>
          <w:p>
            <w:pPr>
              <w:jc w:val="center"/>
              <w:rPr>
                <w:sz w:val="16"/>
              </w:rPr>
            </w:pPr>
          </w:p>
        </w:tc>
        <w:tc>
          <w:tcPr>
            <w:tcW w:w="1089" w:type="dxa"/>
            <w:vMerge w:val="continue"/>
            <w:vAlign w:val="center"/>
          </w:tcPr>
          <w:p>
            <w:pPr>
              <w:jc w:val="center"/>
              <w:rPr>
                <w:sz w:val="16"/>
              </w:rPr>
            </w:pPr>
          </w:p>
        </w:tc>
        <w:tc>
          <w:tcPr>
            <w:tcW w:w="588" w:type="dxa"/>
            <w:vMerge w:val="continue"/>
            <w:vAlign w:val="center"/>
          </w:tcPr>
          <w:p>
            <w:pPr>
              <w:jc w:val="center"/>
              <w:rPr>
                <w:sz w:val="16"/>
              </w:rPr>
            </w:pPr>
          </w:p>
        </w:tc>
        <w:tc>
          <w:tcPr>
            <w:tcW w:w="1059" w:type="dxa"/>
            <w:gridSpan w:val="2"/>
            <w:vMerge w:val="continue"/>
            <w:vAlign w:val="center"/>
          </w:tcPr>
          <w:p>
            <w:pPr>
              <w:jc w:val="center"/>
              <w:rPr>
                <w:sz w:val="16"/>
              </w:rPr>
            </w:pPr>
          </w:p>
        </w:tc>
        <w:tc>
          <w:tcPr>
            <w:tcW w:w="709" w:type="dxa"/>
            <w:vMerge w:val="continue"/>
            <w:vAlign w:val="center"/>
          </w:tcPr>
          <w:p>
            <w:pPr>
              <w:jc w:val="center"/>
              <w:rPr>
                <w:sz w:val="16"/>
              </w:rPr>
            </w:pPr>
          </w:p>
        </w:tc>
        <w:tc>
          <w:tcPr>
            <w:tcW w:w="1559" w:type="dxa"/>
            <w:gridSpan w:val="2"/>
            <w:vAlign w:val="center"/>
          </w:tcPr>
          <w:p>
            <w:pPr>
              <w:jc w:val="center"/>
              <w:rPr>
                <w:sz w:val="16"/>
              </w:rPr>
            </w:pPr>
            <w:r>
              <w:rPr>
                <w:rFonts w:hint="eastAsia"/>
                <w:sz w:val="16"/>
              </w:rPr>
              <w:t>社会效益</w:t>
            </w:r>
          </w:p>
        </w:tc>
        <w:tc>
          <w:tcPr>
            <w:tcW w:w="709" w:type="dxa"/>
            <w:vAlign w:val="center"/>
          </w:tcPr>
          <w:p>
            <w:pPr>
              <w:jc w:val="center"/>
              <w:rPr>
                <w:sz w:val="16"/>
              </w:rPr>
            </w:pPr>
            <w:r>
              <w:rPr>
                <w:sz w:val="16"/>
              </w:rPr>
              <w:t>8</w:t>
            </w:r>
          </w:p>
        </w:tc>
        <w:tc>
          <w:tcPr>
            <w:tcW w:w="2977" w:type="dxa"/>
            <w:gridSpan w:val="4"/>
            <w:vAlign w:val="center"/>
          </w:tcPr>
          <w:p>
            <w:pPr>
              <w:jc w:val="center"/>
              <w:rPr>
                <w:sz w:val="16"/>
              </w:rPr>
            </w:pPr>
          </w:p>
        </w:tc>
        <w:tc>
          <w:tcPr>
            <w:tcW w:w="785" w:type="dxa"/>
            <w:vAlign w:val="center"/>
          </w:tcPr>
          <w:p>
            <w:pPr>
              <w:jc w:val="center"/>
              <w:rPr>
                <w:sz w:val="16"/>
              </w:rPr>
            </w:pPr>
            <w:r>
              <w:rPr>
                <w:sz w:val="16"/>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dxa"/>
            <w:vMerge w:val="continue"/>
            <w:vAlign w:val="center"/>
          </w:tcPr>
          <w:p>
            <w:pPr>
              <w:jc w:val="center"/>
              <w:rPr>
                <w:sz w:val="16"/>
              </w:rPr>
            </w:pPr>
          </w:p>
        </w:tc>
        <w:tc>
          <w:tcPr>
            <w:tcW w:w="1089" w:type="dxa"/>
            <w:vMerge w:val="continue"/>
            <w:vAlign w:val="center"/>
          </w:tcPr>
          <w:p>
            <w:pPr>
              <w:jc w:val="center"/>
              <w:rPr>
                <w:sz w:val="16"/>
              </w:rPr>
            </w:pPr>
          </w:p>
        </w:tc>
        <w:tc>
          <w:tcPr>
            <w:tcW w:w="588" w:type="dxa"/>
            <w:vMerge w:val="continue"/>
            <w:vAlign w:val="center"/>
          </w:tcPr>
          <w:p>
            <w:pPr>
              <w:jc w:val="center"/>
              <w:rPr>
                <w:sz w:val="16"/>
              </w:rPr>
            </w:pPr>
          </w:p>
        </w:tc>
        <w:tc>
          <w:tcPr>
            <w:tcW w:w="1059" w:type="dxa"/>
            <w:gridSpan w:val="2"/>
            <w:vMerge w:val="continue"/>
            <w:vAlign w:val="center"/>
          </w:tcPr>
          <w:p>
            <w:pPr>
              <w:jc w:val="center"/>
              <w:rPr>
                <w:sz w:val="16"/>
              </w:rPr>
            </w:pPr>
          </w:p>
        </w:tc>
        <w:tc>
          <w:tcPr>
            <w:tcW w:w="709" w:type="dxa"/>
            <w:vMerge w:val="continue"/>
            <w:vAlign w:val="center"/>
          </w:tcPr>
          <w:p>
            <w:pPr>
              <w:jc w:val="center"/>
              <w:rPr>
                <w:sz w:val="16"/>
              </w:rPr>
            </w:pPr>
          </w:p>
        </w:tc>
        <w:tc>
          <w:tcPr>
            <w:tcW w:w="1559" w:type="dxa"/>
            <w:gridSpan w:val="2"/>
            <w:vAlign w:val="center"/>
          </w:tcPr>
          <w:p>
            <w:pPr>
              <w:jc w:val="center"/>
              <w:rPr>
                <w:sz w:val="16"/>
              </w:rPr>
            </w:pPr>
            <w:r>
              <w:rPr>
                <w:rFonts w:hint="eastAsia"/>
                <w:sz w:val="16"/>
              </w:rPr>
              <w:t>生态效益</w:t>
            </w:r>
          </w:p>
        </w:tc>
        <w:tc>
          <w:tcPr>
            <w:tcW w:w="709" w:type="dxa"/>
            <w:vAlign w:val="center"/>
          </w:tcPr>
          <w:p>
            <w:pPr>
              <w:jc w:val="center"/>
              <w:rPr>
                <w:sz w:val="16"/>
              </w:rPr>
            </w:pPr>
            <w:r>
              <w:rPr>
                <w:sz w:val="16"/>
              </w:rPr>
              <w:t>8</w:t>
            </w:r>
          </w:p>
        </w:tc>
        <w:tc>
          <w:tcPr>
            <w:tcW w:w="2977" w:type="dxa"/>
            <w:gridSpan w:val="4"/>
            <w:vAlign w:val="center"/>
          </w:tcPr>
          <w:p>
            <w:pPr>
              <w:jc w:val="center"/>
              <w:rPr>
                <w:sz w:val="16"/>
              </w:rPr>
            </w:pPr>
          </w:p>
        </w:tc>
        <w:tc>
          <w:tcPr>
            <w:tcW w:w="785" w:type="dxa"/>
            <w:vAlign w:val="center"/>
          </w:tcPr>
          <w:p>
            <w:pPr>
              <w:jc w:val="center"/>
              <w:rPr>
                <w:rFonts w:hint="eastAsia" w:eastAsiaTheme="minorEastAsia"/>
                <w:sz w:val="16"/>
                <w:lang w:eastAsia="zh-CN"/>
              </w:rPr>
            </w:pPr>
            <w:r>
              <w:rPr>
                <w:rFonts w:hint="eastAsia"/>
                <w:sz w:val="16"/>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376" w:type="dxa"/>
            <w:vMerge w:val="continue"/>
            <w:vAlign w:val="center"/>
          </w:tcPr>
          <w:p>
            <w:pPr>
              <w:jc w:val="center"/>
              <w:rPr>
                <w:sz w:val="16"/>
              </w:rPr>
            </w:pPr>
          </w:p>
        </w:tc>
        <w:tc>
          <w:tcPr>
            <w:tcW w:w="1089" w:type="dxa"/>
            <w:vAlign w:val="center"/>
          </w:tcPr>
          <w:p>
            <w:pPr>
              <w:jc w:val="center"/>
              <w:rPr>
                <w:sz w:val="16"/>
              </w:rPr>
            </w:pPr>
            <w:r>
              <w:rPr>
                <w:rFonts w:hint="eastAsia"/>
                <w:sz w:val="16"/>
              </w:rPr>
              <w:t>项目预算执行率</w:t>
            </w:r>
          </w:p>
        </w:tc>
        <w:tc>
          <w:tcPr>
            <w:tcW w:w="588" w:type="dxa"/>
            <w:vAlign w:val="center"/>
          </w:tcPr>
          <w:p>
            <w:pPr>
              <w:jc w:val="center"/>
              <w:rPr>
                <w:sz w:val="16"/>
              </w:rPr>
            </w:pPr>
            <w:r>
              <w:rPr>
                <w:sz w:val="16"/>
              </w:rPr>
              <w:t>10</w:t>
            </w:r>
          </w:p>
        </w:tc>
        <w:tc>
          <w:tcPr>
            <w:tcW w:w="4036" w:type="dxa"/>
            <w:gridSpan w:val="6"/>
            <w:vAlign w:val="center"/>
          </w:tcPr>
          <w:p>
            <w:pPr>
              <w:jc w:val="center"/>
              <w:rPr>
                <w:sz w:val="16"/>
              </w:rPr>
            </w:pPr>
          </w:p>
        </w:tc>
        <w:tc>
          <w:tcPr>
            <w:tcW w:w="3762" w:type="dxa"/>
            <w:gridSpan w:val="5"/>
            <w:vAlign w:val="center"/>
          </w:tcPr>
          <w:p>
            <w:pPr>
              <w:jc w:val="center"/>
              <w:rPr>
                <w:sz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76" w:type="dxa"/>
            <w:vMerge w:val="continue"/>
            <w:vAlign w:val="center"/>
          </w:tcPr>
          <w:p>
            <w:pPr>
              <w:jc w:val="center"/>
              <w:rPr>
                <w:sz w:val="16"/>
              </w:rPr>
            </w:pPr>
          </w:p>
        </w:tc>
        <w:tc>
          <w:tcPr>
            <w:tcW w:w="1089" w:type="dxa"/>
            <w:vAlign w:val="center"/>
          </w:tcPr>
          <w:p>
            <w:pPr>
              <w:jc w:val="center"/>
              <w:rPr>
                <w:sz w:val="16"/>
              </w:rPr>
            </w:pPr>
            <w:r>
              <w:rPr>
                <w:rFonts w:hint="eastAsia"/>
                <w:sz w:val="16"/>
              </w:rPr>
              <w:t>满意度指标</w:t>
            </w:r>
          </w:p>
        </w:tc>
        <w:tc>
          <w:tcPr>
            <w:tcW w:w="588" w:type="dxa"/>
            <w:vAlign w:val="center"/>
          </w:tcPr>
          <w:p>
            <w:pPr>
              <w:jc w:val="center"/>
              <w:rPr>
                <w:sz w:val="16"/>
              </w:rPr>
            </w:pPr>
            <w:r>
              <w:rPr>
                <w:sz w:val="16"/>
              </w:rPr>
              <w:t>10</w:t>
            </w:r>
          </w:p>
        </w:tc>
        <w:tc>
          <w:tcPr>
            <w:tcW w:w="1059" w:type="dxa"/>
            <w:gridSpan w:val="2"/>
            <w:vAlign w:val="center"/>
          </w:tcPr>
          <w:p>
            <w:pPr>
              <w:jc w:val="center"/>
              <w:rPr>
                <w:sz w:val="16"/>
              </w:rPr>
            </w:pPr>
            <w:r>
              <w:rPr>
                <w:rFonts w:hint="eastAsia"/>
                <w:sz w:val="16"/>
              </w:rPr>
              <w:t>服务对象满意度</w:t>
            </w:r>
          </w:p>
        </w:tc>
        <w:tc>
          <w:tcPr>
            <w:tcW w:w="709" w:type="dxa"/>
            <w:vAlign w:val="center"/>
          </w:tcPr>
          <w:p>
            <w:pPr>
              <w:jc w:val="center"/>
              <w:rPr>
                <w:sz w:val="16"/>
              </w:rPr>
            </w:pPr>
            <w:r>
              <w:rPr>
                <w:sz w:val="16"/>
              </w:rPr>
              <w:t>10</w:t>
            </w:r>
          </w:p>
        </w:tc>
        <w:tc>
          <w:tcPr>
            <w:tcW w:w="2268" w:type="dxa"/>
            <w:gridSpan w:val="3"/>
            <w:vAlign w:val="center"/>
          </w:tcPr>
          <w:p>
            <w:pPr>
              <w:jc w:val="center"/>
              <w:rPr>
                <w:sz w:val="16"/>
              </w:rPr>
            </w:pPr>
          </w:p>
        </w:tc>
        <w:tc>
          <w:tcPr>
            <w:tcW w:w="3762" w:type="dxa"/>
            <w:gridSpan w:val="5"/>
            <w:vAlign w:val="center"/>
          </w:tcPr>
          <w:p>
            <w:pPr>
              <w:jc w:val="left"/>
              <w:rPr>
                <w:rFonts w:hint="default" w:eastAsiaTheme="minorEastAsia"/>
                <w:sz w:val="16"/>
                <w:lang w:eastAsia="zh-CN"/>
              </w:rPr>
            </w:pPr>
            <w:r>
              <w:rPr>
                <w:rFonts w:hint="eastAsia"/>
                <w:sz w:val="16"/>
              </w:rPr>
              <w:t>总分</w:t>
            </w:r>
            <w:r>
              <w:rPr>
                <w:rFonts w:hint="default"/>
                <w:sz w:val="16"/>
                <w:lang w:eastAsia="zh-CN"/>
              </w:rPr>
              <w:t>95</w:t>
            </w:r>
          </w:p>
        </w:tc>
      </w:tr>
    </w:tbl>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right="0" w:firstLine="640" w:firstLineChars="200"/>
        <w:jc w:val="both"/>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eastAsia" w:ascii="楷体_GB2312" w:hAnsi="宋体" w:eastAsia="楷体_GB2312" w:cs="宋体"/>
          <w:color w:val="000000"/>
          <w:kern w:val="0"/>
          <w:sz w:val="32"/>
          <w:szCs w:val="32"/>
          <w:shd w:val="clear" w:color="auto" w:fill="FFFFFF"/>
          <w:lang w:val="en-US" w:eastAsia="zh-CN" w:bidi="ar-SA"/>
        </w:rPr>
      </w:pPr>
      <w:r>
        <w:rPr>
          <w:rFonts w:hint="eastAsia" w:ascii="楷体_GB2312" w:hAnsi="宋体" w:eastAsia="楷体_GB2312" w:cs="宋体"/>
          <w:color w:val="000000"/>
          <w:kern w:val="0"/>
          <w:sz w:val="32"/>
          <w:szCs w:val="32"/>
          <w:shd w:val="clear" w:color="auto" w:fill="FFFFFF"/>
          <w:lang w:val="en-US" w:eastAsia="zh-CN" w:bidi="ar-SA"/>
        </w:rPr>
        <w:t>（二）存在的问题</w:t>
      </w:r>
    </w:p>
    <w:p>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right="0" w:rightChars="0" w:firstLine="640" w:firstLineChars="200"/>
        <w:jc w:val="both"/>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需要收、征集的珍贵</w:t>
      </w:r>
      <w:r>
        <w:rPr>
          <w:rFonts w:hint="default"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实物</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档案较多，但市场价格较高，目前的项目经费预算难以满足实际工作需要。</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eastAsia" w:ascii="楷体_GB2312" w:hAnsi="宋体" w:eastAsia="楷体_GB2312" w:cs="宋体"/>
          <w:color w:val="000000"/>
          <w:kern w:val="0"/>
          <w:sz w:val="32"/>
          <w:szCs w:val="32"/>
          <w:shd w:val="clear" w:color="auto" w:fill="FFFFFF"/>
          <w:lang w:val="en-US" w:eastAsia="zh-CN" w:bidi="ar-SA"/>
        </w:rPr>
      </w:pPr>
      <w:r>
        <w:rPr>
          <w:rFonts w:hint="eastAsia" w:ascii="楷体_GB2312" w:hAnsi="宋体" w:eastAsia="楷体_GB2312" w:cs="宋体"/>
          <w:color w:val="000000"/>
          <w:kern w:val="0"/>
          <w:sz w:val="32"/>
          <w:szCs w:val="32"/>
          <w:shd w:val="clear" w:color="auto" w:fill="FFFFFF"/>
          <w:lang w:val="en-US" w:eastAsia="zh-CN" w:bidi="ar-SA"/>
        </w:rPr>
        <w:t>（三）建议和改进措施</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8" w:lineRule="atLeast"/>
        <w:ind w:left="0" w:right="0" w:firstLine="640" w:firstLineChars="200"/>
        <w:jc w:val="left"/>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kern w:val="0"/>
          <w:sz w:val="32"/>
          <w:szCs w:val="32"/>
          <w:u w:val="none"/>
          <w:shd w:val="clear" w:fill="FFFFFF"/>
          <w:lang w:val="en-US" w:eastAsia="zh-CN" w:bidi="ar"/>
          <w14:textFill>
            <w14:solidFill>
              <w14:schemeClr w14:val="tx1"/>
            </w14:solidFill>
          </w14:textFill>
        </w:rPr>
        <w:t>考虑到档案工作的“总量递增”特性，希望财政预算能够对档案工作附加“总量递增”。   </w:t>
      </w:r>
      <w:r>
        <w:rPr>
          <w:rFonts w:hint="eastAsia" w:ascii="仿宋_GB2312" w:hAnsi="仿宋_GB2312" w:eastAsia="仿宋_GB2312" w:cs="仿宋_GB2312"/>
          <w:b/>
          <w:bCs/>
          <w:i w:val="0"/>
          <w:iCs w:val="0"/>
          <w:caps w:val="0"/>
          <w:color w:val="000000" w:themeColor="text1"/>
          <w:spacing w:val="0"/>
          <w:kern w:val="0"/>
          <w:sz w:val="32"/>
          <w:szCs w:val="32"/>
          <w:u w:val="none"/>
          <w:shd w:val="clear" w:fill="FFFFFF"/>
          <w:lang w:val="en-US" w:eastAsia="zh-CN" w:bidi="ar"/>
          <w14:textFill>
            <w14:solidFill>
              <w14:schemeClr w14:val="tx1"/>
            </w14:solidFill>
          </w14:textFill>
        </w:rPr>
        <w:t> </w:t>
      </w:r>
    </w:p>
    <w:p>
      <w:pPr>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br w:type="page"/>
      </w:r>
    </w:p>
    <w:p>
      <w:pPr>
        <w:keepNext w:val="0"/>
        <w:keepLines w:val="0"/>
        <w:pageBreakBefore w:val="0"/>
        <w:widowControl w:val="0"/>
        <w:kinsoku/>
        <w:wordWrap/>
        <w:overflowPunct/>
        <w:topLinePunct w:val="0"/>
        <w:autoSpaceDE/>
        <w:autoSpaceDN/>
        <w:bidi w:val="0"/>
        <w:adjustRightInd/>
        <w:spacing w:line="600" w:lineRule="exact"/>
        <w:textAlignment w:val="auto"/>
        <w:outlineLvl w:val="9"/>
        <w:rPr>
          <w:rFonts w:hint="eastAsia" w:ascii="方正小标宋简体" w:hAnsi="宋体" w:eastAsia="方正小标宋简体"/>
          <w:sz w:val="44"/>
          <w:szCs w:val="44"/>
          <w:lang w:eastAsia="zh-CN"/>
        </w:rPr>
      </w:pPr>
      <w:r>
        <w:rPr>
          <w:rFonts w:hint="eastAsia" w:ascii="黑体" w:hAnsi="黑体" w:eastAsia="黑体"/>
        </w:rPr>
        <w:t>附件</w:t>
      </w:r>
    </w:p>
    <w:p>
      <w:pPr>
        <w:pStyle w:val="17"/>
        <w:keepNext w:val="0"/>
        <w:keepLines w:val="0"/>
        <w:pageBreakBefore w:val="0"/>
        <w:kinsoku/>
        <w:wordWrap/>
        <w:overflowPunct/>
        <w:topLinePunct w:val="0"/>
        <w:autoSpaceDE/>
        <w:autoSpaceDN/>
        <w:bidi w:val="0"/>
        <w:spacing w:line="600" w:lineRule="exact"/>
        <w:ind w:firstLine="883"/>
        <w:jc w:val="center"/>
        <w:textAlignment w:val="auto"/>
        <w:rPr>
          <w:rFonts w:hint="eastAsia" w:ascii="方正小标宋简体" w:hAnsi="Times New Roman" w:eastAsia="方正小标宋简体" w:cs="Times New Roman"/>
          <w:color w:val="auto"/>
          <w:kern w:val="0"/>
          <w:sz w:val="40"/>
          <w:szCs w:val="44"/>
          <w:lang w:val="en-US" w:eastAsia="zh-CN" w:bidi="ar-SA"/>
        </w:rPr>
      </w:pPr>
      <w:r>
        <w:rPr>
          <w:rFonts w:hint="eastAsia" w:ascii="方正小标宋简体" w:hAnsi="Times New Roman" w:eastAsia="方正小标宋简体" w:cs="Times New Roman"/>
          <w:color w:val="auto"/>
          <w:kern w:val="0"/>
          <w:sz w:val="40"/>
          <w:szCs w:val="44"/>
          <w:lang w:val="en-US" w:eastAsia="zh-CN" w:bidi="ar-SA"/>
        </w:rPr>
        <w:t>数字档案馆建设项目支出绩效自评报告</w:t>
      </w:r>
    </w:p>
    <w:p>
      <w:pPr>
        <w:keepNext w:val="0"/>
        <w:keepLines w:val="0"/>
        <w:pageBreakBefore w:val="0"/>
        <w:kinsoku/>
        <w:wordWrap/>
        <w:overflowPunct/>
        <w:topLinePunct w:val="0"/>
        <w:autoSpaceDE/>
        <w:autoSpaceDN/>
        <w:bidi w:val="0"/>
        <w:adjustRightInd w:val="0"/>
        <w:snapToGrid w:val="0"/>
        <w:spacing w:line="480" w:lineRule="exact"/>
        <w:ind w:firstLine="720"/>
        <w:textAlignment w:val="auto"/>
        <w:rPr>
          <w:rFonts w:hint="eastAsia" w:ascii="方正黑体_GBK" w:hAnsi="方正黑体_GBK" w:eastAsia="方正黑体_GBK" w:cs="方正黑体_GBK"/>
          <w:b w:val="0"/>
          <w:bCs w:val="0"/>
          <w:sz w:val="32"/>
          <w:szCs w:val="32"/>
        </w:rPr>
      </w:pPr>
    </w:p>
    <w:p>
      <w:pPr>
        <w:keepNext w:val="0"/>
        <w:keepLines w:val="0"/>
        <w:pageBreakBefore w:val="0"/>
        <w:kinsoku/>
        <w:wordWrap/>
        <w:overflowPunct/>
        <w:topLinePunct w:val="0"/>
        <w:autoSpaceDE/>
        <w:autoSpaceDN/>
        <w:bidi w:val="0"/>
        <w:adjustRightInd w:val="0"/>
        <w:snapToGrid w:val="0"/>
        <w:spacing w:line="480" w:lineRule="exact"/>
        <w:ind w:firstLine="720"/>
        <w:textAlignment w:val="auto"/>
        <w:rPr>
          <w:rFonts w:hint="eastAsia" w:ascii="黑体" w:hAnsi="黑体" w:eastAsia="黑体" w:cs="黑体"/>
          <w:b w:val="0"/>
          <w:bCs w:val="0"/>
          <w:sz w:val="32"/>
          <w:szCs w:val="32"/>
          <w:lang w:val="zh-CN"/>
        </w:rPr>
      </w:pPr>
      <w:r>
        <w:rPr>
          <w:rFonts w:hint="eastAsia" w:ascii="黑体" w:hAnsi="黑体" w:eastAsia="黑体" w:cs="黑体"/>
          <w:b w:val="0"/>
          <w:bCs w:val="0"/>
          <w:sz w:val="32"/>
          <w:szCs w:val="32"/>
        </w:rPr>
        <w:t>一、</w:t>
      </w:r>
      <w:r>
        <w:rPr>
          <w:rFonts w:hint="eastAsia" w:ascii="黑体" w:hAnsi="黑体" w:eastAsia="黑体" w:cs="黑体"/>
          <w:b w:val="0"/>
          <w:bCs w:val="0"/>
          <w:sz w:val="32"/>
          <w:szCs w:val="32"/>
          <w:lang w:val="zh-CN"/>
        </w:rPr>
        <w:t>项目概况</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eastAsia" w:ascii="楷体_GB2312" w:hAnsi="宋体" w:eastAsia="楷体_GB2312" w:cs="宋体"/>
          <w:color w:val="000000"/>
          <w:kern w:val="0"/>
          <w:sz w:val="32"/>
          <w:szCs w:val="32"/>
          <w:shd w:val="clear" w:color="auto" w:fill="FFFFFF"/>
          <w:lang w:val="zh-CN" w:eastAsia="zh-CN" w:bidi="ar-SA"/>
        </w:rPr>
      </w:pPr>
      <w:r>
        <w:rPr>
          <w:rFonts w:hint="eastAsia" w:ascii="楷体_GB2312" w:hAnsi="宋体" w:eastAsia="楷体_GB2312" w:cs="宋体"/>
          <w:color w:val="000000"/>
          <w:kern w:val="0"/>
          <w:sz w:val="32"/>
          <w:szCs w:val="32"/>
          <w:shd w:val="clear" w:color="auto" w:fill="FFFFFF"/>
          <w:lang w:val="zh-CN" w:eastAsia="zh-CN" w:bidi="ar-SA"/>
        </w:rPr>
        <w:t>（一）项目基本情况</w:t>
      </w:r>
    </w:p>
    <w:p>
      <w:pPr>
        <w:pageBreakBefore w:val="0"/>
        <w:kinsoku/>
        <w:wordWrap/>
        <w:overflowPunct/>
        <w:topLinePunct w:val="0"/>
        <w:autoSpaceDE/>
        <w:autoSpaceDN/>
        <w:bidi w:val="0"/>
        <w:adjustRightInd/>
        <w:spacing w:line="480" w:lineRule="exact"/>
        <w:ind w:firstLine="642"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1</w:t>
      </w:r>
      <w:r>
        <w:rPr>
          <w:rFonts w:hint="eastAsia" w:ascii="仿宋_GB2312" w:hAnsi="仿宋_GB2312" w:cs="仿宋_GB2312"/>
          <w:b/>
          <w:bCs/>
          <w:sz w:val="32"/>
          <w:szCs w:val="32"/>
          <w:lang w:val="zh-CN"/>
        </w:rPr>
        <w:t>.</w:t>
      </w:r>
      <w:r>
        <w:rPr>
          <w:rFonts w:hint="eastAsia" w:ascii="仿宋_GB2312" w:hAnsi="仿宋_GB2312" w:eastAsia="仿宋_GB2312" w:cs="仿宋_GB2312"/>
          <w:b/>
          <w:bCs/>
          <w:sz w:val="32"/>
          <w:szCs w:val="32"/>
          <w:lang w:val="zh-CN"/>
        </w:rPr>
        <w:t>职能职责。</w:t>
      </w:r>
    </w:p>
    <w:p>
      <w:pPr>
        <w:pageBreakBefore w:val="0"/>
        <w:kinsoku/>
        <w:wordWrap/>
        <w:overflowPunct/>
        <w:topLinePunct w:val="0"/>
        <w:autoSpaceDE/>
        <w:autoSpaceDN/>
        <w:bidi w:val="0"/>
        <w:adjustRightInd/>
        <w:spacing w:line="48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sz w:val="32"/>
          <w:szCs w:val="32"/>
        </w:rPr>
        <w:t>阿坝州档案馆馆藏丰富</w:t>
      </w:r>
      <w:r>
        <w:rPr>
          <w:rFonts w:hint="eastAsia" w:ascii="仿宋_GB2312" w:hAnsi="仿宋_GB2312" w:cs="仿宋_GB2312"/>
          <w:b w:val="0"/>
          <w:bCs w:val="0"/>
          <w:sz w:val="32"/>
          <w:szCs w:val="32"/>
          <w:lang w:eastAsia="zh-CN"/>
        </w:rPr>
        <w:t>，</w:t>
      </w:r>
      <w:r>
        <w:rPr>
          <w:rFonts w:hint="eastAsia" w:ascii="仿宋_GB2312" w:hAnsi="仿宋_GB2312" w:eastAsia="仿宋_GB2312" w:cs="仿宋_GB2312"/>
          <w:b w:val="0"/>
          <w:bCs w:val="0"/>
          <w:sz w:val="32"/>
          <w:szCs w:val="32"/>
        </w:rPr>
        <w:t>为人们进行课题研究、落实政策、解决待遇提供了翔实的依据和佐证。近年来</w:t>
      </w:r>
      <w:r>
        <w:rPr>
          <w:rFonts w:hint="eastAsia" w:ascii="仿宋_GB2312" w:hAnsi="仿宋_GB2312" w:eastAsia="仿宋_GB2312" w:cs="仿宋_GB2312"/>
          <w:b w:val="0"/>
          <w:bCs w:val="0"/>
          <w:sz w:val="32"/>
          <w:szCs w:val="32"/>
          <w:lang w:eastAsia="zh-CN"/>
        </w:rPr>
        <w:t>，随着</w:t>
      </w:r>
      <w:r>
        <w:rPr>
          <w:rFonts w:hint="eastAsia" w:ascii="仿宋_GB2312" w:hAnsi="仿宋_GB2312" w:eastAsia="仿宋_GB2312" w:cs="仿宋_GB2312"/>
          <w:b w:val="0"/>
          <w:bCs w:val="0"/>
          <w:sz w:val="32"/>
          <w:szCs w:val="32"/>
        </w:rPr>
        <w:t>查阅人数逐年上升</w:t>
      </w:r>
      <w:r>
        <w:rPr>
          <w:rFonts w:hint="eastAsia" w:ascii="仿宋_GB2312" w:hAnsi="仿宋_GB2312" w:eastAsia="仿宋_GB2312" w:cs="仿宋_GB2312"/>
          <w:b w:val="0"/>
          <w:bCs w:val="0"/>
          <w:sz w:val="32"/>
          <w:szCs w:val="32"/>
          <w:lang w:eastAsia="zh-CN"/>
        </w:rPr>
        <w:t>，以</w:t>
      </w:r>
      <w:r>
        <w:rPr>
          <w:rFonts w:hint="eastAsia" w:ascii="仿宋_GB2312" w:hAnsi="仿宋_GB2312" w:eastAsia="仿宋_GB2312" w:cs="仿宋_GB2312"/>
          <w:b w:val="0"/>
          <w:bCs w:val="0"/>
          <w:sz w:val="32"/>
          <w:szCs w:val="32"/>
        </w:rPr>
        <w:t>对</w:t>
      </w:r>
      <w:r>
        <w:rPr>
          <w:rFonts w:hint="eastAsia" w:ascii="仿宋_GB2312" w:hAnsi="仿宋_GB2312" w:eastAsia="仿宋_GB2312" w:cs="仿宋_GB2312"/>
          <w:b w:val="0"/>
          <w:bCs w:val="0"/>
          <w:sz w:val="32"/>
          <w:szCs w:val="32"/>
          <w:lang w:eastAsia="zh-CN"/>
        </w:rPr>
        <w:t>实体</w:t>
      </w:r>
      <w:r>
        <w:rPr>
          <w:rFonts w:hint="eastAsia" w:ascii="仿宋_GB2312" w:hAnsi="仿宋_GB2312" w:eastAsia="仿宋_GB2312" w:cs="仿宋_GB2312"/>
          <w:b w:val="0"/>
          <w:bCs w:val="0"/>
          <w:sz w:val="32"/>
          <w:szCs w:val="32"/>
        </w:rPr>
        <w:t>档案进行保护的角度，迫切需要</w:t>
      </w:r>
      <w:r>
        <w:rPr>
          <w:rFonts w:hint="eastAsia" w:ascii="仿宋_GB2312" w:hAnsi="仿宋_GB2312" w:eastAsia="仿宋_GB2312" w:cs="仿宋_GB2312"/>
          <w:b w:val="0"/>
          <w:bCs w:val="0"/>
          <w:sz w:val="32"/>
          <w:szCs w:val="32"/>
          <w:lang w:eastAsia="zh-CN"/>
        </w:rPr>
        <w:t>加强</w:t>
      </w:r>
      <w:r>
        <w:rPr>
          <w:rFonts w:hint="eastAsia" w:ascii="仿宋_GB2312" w:hAnsi="仿宋_GB2312" w:eastAsia="仿宋_GB2312" w:cs="仿宋_GB2312"/>
          <w:b w:val="0"/>
          <w:bCs w:val="0"/>
          <w:sz w:val="32"/>
          <w:szCs w:val="32"/>
        </w:rPr>
        <w:t>对馆藏档案</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数字</w:t>
      </w:r>
      <w:r>
        <w:rPr>
          <w:rFonts w:hint="eastAsia" w:ascii="仿宋_GB2312" w:hAnsi="仿宋_GB2312" w:eastAsia="仿宋_GB2312" w:cs="仿宋_GB2312"/>
          <w:b w:val="0"/>
          <w:bCs w:val="0"/>
          <w:sz w:val="32"/>
          <w:szCs w:val="32"/>
          <w:lang w:eastAsia="zh-CN"/>
        </w:rPr>
        <w:t>化工作。</w:t>
      </w:r>
      <w:r>
        <w:rPr>
          <w:rFonts w:hint="eastAsia" w:ascii="仿宋_GB2312" w:hAnsi="仿宋_GB2312" w:eastAsia="仿宋_GB2312" w:cs="仿宋_GB2312"/>
          <w:b w:val="0"/>
          <w:bCs w:val="0"/>
          <w:color w:val="000000"/>
          <w:sz w:val="32"/>
          <w:szCs w:val="32"/>
        </w:rPr>
        <w:t>根据国家档案局《数字档案馆建设指南》、《数字档案馆系统测试办法》及四川省档案局相关文件对省内各地数字档案馆建设提出的要求，在对阿坝州进行充分实地调研基础上，通过分析阿坝州档案馆档案管理现状、档案馆保管条件和信息化建设的基本现状及存在的问题，</w:t>
      </w:r>
      <w:r>
        <w:rPr>
          <w:rFonts w:hint="eastAsia" w:ascii="仿宋_GB2312" w:hAnsi="仿宋_GB2312" w:eastAsia="仿宋_GB2312" w:cs="仿宋_GB2312"/>
          <w:b w:val="0"/>
          <w:bCs w:val="0"/>
          <w:color w:val="000000"/>
          <w:sz w:val="32"/>
          <w:szCs w:val="32"/>
          <w:lang w:eastAsia="zh-CN"/>
        </w:rPr>
        <w:t>阿坝州数字档案馆建设迫在眉睫</w:t>
      </w:r>
      <w:r>
        <w:rPr>
          <w:rFonts w:hint="eastAsia" w:ascii="仿宋_GB2312" w:hAnsi="仿宋_GB2312" w:eastAsia="仿宋_GB2312" w:cs="仿宋_GB2312"/>
          <w:b w:val="0"/>
          <w:bCs w:val="0"/>
          <w:color w:val="000000"/>
          <w:sz w:val="32"/>
          <w:szCs w:val="32"/>
          <w:lang w:val="en-US" w:eastAsia="zh-CN"/>
        </w:rPr>
        <w:t>,亟需进行数字档案馆建设</w:t>
      </w:r>
      <w:r>
        <w:rPr>
          <w:rFonts w:hint="eastAsia" w:ascii="仿宋_GB2312" w:hAnsi="仿宋_GB2312" w:eastAsia="仿宋_GB2312" w:cs="仿宋_GB2312"/>
          <w:b w:val="0"/>
          <w:bCs w:val="0"/>
          <w:color w:val="000000"/>
          <w:sz w:val="32"/>
          <w:szCs w:val="32"/>
        </w:rPr>
        <w:t>。</w:t>
      </w:r>
    </w:p>
    <w:p>
      <w:pPr>
        <w:keepNext w:val="0"/>
        <w:keepLines w:val="0"/>
        <w:pageBreakBefore w:val="0"/>
        <w:numPr>
          <w:ilvl w:val="0"/>
          <w:numId w:val="5"/>
        </w:numPr>
        <w:kinsoku/>
        <w:wordWrap/>
        <w:overflowPunct/>
        <w:topLinePunct w:val="0"/>
        <w:autoSpaceDE/>
        <w:autoSpaceDN/>
        <w:bidi w:val="0"/>
        <w:adjustRightInd w:val="0"/>
        <w:snapToGrid w:val="0"/>
        <w:spacing w:line="480" w:lineRule="exact"/>
        <w:ind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立项依据及资金。</w:t>
      </w:r>
    </w:p>
    <w:p>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zh-CN"/>
        </w:rPr>
        <w:t>按照</w:t>
      </w:r>
      <w:r>
        <w:rPr>
          <w:rFonts w:hint="eastAsia" w:ascii="仿宋_GB2312" w:hAnsi="仿宋_GB2312" w:eastAsia="仿宋_GB2312" w:cs="仿宋_GB2312"/>
          <w:b w:val="0"/>
          <w:bCs w:val="0"/>
          <w:sz w:val="32"/>
          <w:szCs w:val="32"/>
          <w:lang w:val="en-US" w:eastAsia="zh-CN"/>
        </w:rPr>
        <w:t>2021年1月1日施行的《中华人民共和国档案法》第五章第35条至第41条规定及《</w:t>
      </w:r>
      <w:r>
        <w:rPr>
          <w:rFonts w:hint="eastAsia" w:ascii="仿宋_GB2312" w:hAnsi="仿宋_GB2312" w:eastAsia="仿宋_GB2312" w:cs="仿宋_GB2312"/>
          <w:b w:val="0"/>
          <w:bCs w:val="0"/>
          <w:i w:val="0"/>
          <w:caps w:val="0"/>
          <w:color w:val="333333"/>
          <w:spacing w:val="0"/>
          <w:sz w:val="32"/>
          <w:szCs w:val="32"/>
          <w:shd w:val="clear" w:fill="FFFFFF"/>
        </w:rPr>
        <w:t>阿坝州档案馆2021年部门预算编制说明</w:t>
      </w:r>
      <w:r>
        <w:rPr>
          <w:rFonts w:hint="eastAsia" w:ascii="仿宋_GB2312" w:hAnsi="仿宋_GB2312" w:eastAsia="仿宋_GB2312" w:cs="仿宋_GB2312"/>
          <w:b w:val="0"/>
          <w:bCs w:val="0"/>
          <w:sz w:val="32"/>
          <w:szCs w:val="32"/>
          <w:lang w:val="en-US" w:eastAsia="zh-CN"/>
        </w:rPr>
        <w:t>》，财政预算为20万元</w:t>
      </w:r>
      <w:r>
        <w:rPr>
          <w:rFonts w:hint="eastAsia" w:ascii="仿宋_GB2312" w:hAnsi="仿宋_GB2312" w:cs="仿宋_GB2312"/>
          <w:b w:val="0"/>
          <w:bCs w:val="0"/>
          <w:sz w:val="32"/>
          <w:szCs w:val="32"/>
          <w:lang w:val="en-US" w:eastAsia="zh-CN"/>
        </w:rPr>
        <w:t>（其中网络维护费用为2万元）。</w:t>
      </w:r>
    </w:p>
    <w:p>
      <w:pPr>
        <w:keepNext w:val="0"/>
        <w:keepLines w:val="0"/>
        <w:pageBreakBefore w:val="0"/>
        <w:kinsoku/>
        <w:wordWrap/>
        <w:overflowPunct/>
        <w:topLinePunct w:val="0"/>
        <w:autoSpaceDE/>
        <w:autoSpaceDN/>
        <w:bidi w:val="0"/>
        <w:adjustRightInd w:val="0"/>
        <w:snapToGrid w:val="0"/>
        <w:spacing w:line="480" w:lineRule="exact"/>
        <w:ind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3．资金管理办法制定情况，资金支持具体项目的条件、范围与支持方式概况。</w:t>
      </w:r>
    </w:p>
    <w:p>
      <w:pPr>
        <w:pStyle w:val="7"/>
        <w:keepNext w:val="0"/>
        <w:keepLines w:val="0"/>
        <w:pageBreakBefore w:val="0"/>
        <w:widowControl w:val="0"/>
        <w:kinsoku/>
        <w:wordWrap/>
        <w:overflowPunct/>
        <w:topLinePunct w:val="0"/>
        <w:autoSpaceDE/>
        <w:autoSpaceDN/>
        <w:bidi w:val="0"/>
        <w:spacing w:line="480" w:lineRule="exact"/>
        <w:textAlignment w:val="auto"/>
        <w:rPr>
          <w:rFonts w:hint="eastAsia" w:ascii="仿宋_GB2312" w:hAnsi="仿宋_GB2312" w:eastAsia="仿宋_GB2312" w:cs="仿宋_GB2312"/>
          <w:b w:val="0"/>
          <w:bCs w:val="0"/>
          <w:sz w:val="32"/>
          <w:szCs w:val="32"/>
          <w:lang w:val="en"/>
        </w:rPr>
      </w:pPr>
      <w:r>
        <w:rPr>
          <w:rFonts w:hint="eastAsia" w:ascii="仿宋_GB2312" w:hAnsi="仿宋_GB2312" w:eastAsia="仿宋_GB2312" w:cs="仿宋_GB2312"/>
          <w:b w:val="0"/>
          <w:bCs w:val="0"/>
          <w:sz w:val="32"/>
          <w:szCs w:val="32"/>
          <w:lang w:val="zh-CN"/>
        </w:rPr>
        <w:t>　　资金管理办法是以</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i w:val="0"/>
          <w:caps w:val="0"/>
          <w:color w:val="333333"/>
          <w:spacing w:val="0"/>
          <w:sz w:val="32"/>
          <w:szCs w:val="32"/>
          <w:shd w:val="clear" w:fill="FFFFFF"/>
        </w:rPr>
        <w:t>阿坝州档案馆2021年部门预算编制说明</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zh-CN"/>
        </w:rPr>
        <w:t>为依据．主要是对馆藏</w:t>
      </w:r>
      <w:r>
        <w:rPr>
          <w:rFonts w:hint="eastAsia" w:ascii="仿宋_GB2312" w:hAnsi="仿宋_GB2312" w:eastAsia="仿宋_GB2312" w:cs="仿宋_GB2312"/>
          <w:b w:val="0"/>
          <w:bCs w:val="0"/>
          <w:sz w:val="32"/>
          <w:szCs w:val="32"/>
          <w:lang w:val="en-US" w:eastAsia="zh-CN"/>
        </w:rPr>
        <w:t>80％以上的</w:t>
      </w:r>
      <w:r>
        <w:rPr>
          <w:rFonts w:hint="eastAsia" w:ascii="仿宋_GB2312" w:hAnsi="仿宋_GB2312" w:eastAsia="仿宋_GB2312" w:cs="仿宋_GB2312"/>
          <w:b w:val="0"/>
          <w:bCs w:val="0"/>
          <w:sz w:val="32"/>
          <w:szCs w:val="32"/>
          <w:lang w:val="zh-CN"/>
        </w:rPr>
        <w:t>档案进行数字化加工</w:t>
      </w:r>
      <w:r>
        <w:rPr>
          <w:rFonts w:hint="eastAsia" w:ascii="仿宋_GB2312" w:hAnsi="仿宋_GB2312" w:cs="仿宋_GB2312"/>
          <w:b w:val="0"/>
          <w:bCs w:val="0"/>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4．资金分配的原则及考虑因素。</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zh-CN" w:eastAsia="zh-CN" w:bidi="ar-SA"/>
        </w:rPr>
        <w:t>资金分配原则是以查阅利用卷次较高或利用频繁的全宗为实施前提。</w:t>
      </w:r>
    </w:p>
    <w:p>
      <w:pPr>
        <w:keepNext w:val="0"/>
        <w:keepLines w:val="0"/>
        <w:pageBreakBefore w:val="0"/>
        <w:kinsoku/>
        <w:wordWrap/>
        <w:overflowPunct/>
        <w:topLinePunct w:val="0"/>
        <w:autoSpaceDE/>
        <w:autoSpaceDN/>
        <w:bidi w:val="0"/>
        <w:adjustRightInd w:val="0"/>
        <w:snapToGrid w:val="0"/>
        <w:spacing w:line="480" w:lineRule="exact"/>
        <w:ind w:firstLine="720"/>
        <w:textAlignment w:val="auto"/>
        <w:rPr>
          <w:rFonts w:hint="eastAsia" w:ascii="楷体_GB2312" w:hAnsi="宋体" w:eastAsia="楷体_GB2312" w:cs="宋体"/>
          <w:color w:val="000000"/>
          <w:kern w:val="0"/>
          <w:sz w:val="32"/>
          <w:szCs w:val="32"/>
          <w:shd w:val="clear" w:color="auto" w:fill="FFFFFF"/>
          <w:lang w:val="zh-CN" w:eastAsia="zh-CN" w:bidi="ar-SA"/>
        </w:rPr>
      </w:pPr>
      <w:r>
        <w:rPr>
          <w:rFonts w:hint="eastAsia" w:ascii="楷体_GB2312" w:hAnsi="宋体" w:eastAsia="楷体_GB2312" w:cs="宋体"/>
          <w:color w:val="000000"/>
          <w:kern w:val="0"/>
          <w:sz w:val="32"/>
          <w:szCs w:val="32"/>
          <w:shd w:val="clear" w:color="auto" w:fill="FFFFFF"/>
          <w:lang w:val="zh-CN" w:eastAsia="zh-CN" w:bidi="ar-SA"/>
        </w:rPr>
        <w:t>（二）项目绩效目标</w:t>
      </w:r>
    </w:p>
    <w:p>
      <w:pPr>
        <w:keepNext w:val="0"/>
        <w:keepLines w:val="0"/>
        <w:pageBreakBefore w:val="0"/>
        <w:kinsoku/>
        <w:wordWrap/>
        <w:overflowPunct/>
        <w:topLinePunct w:val="0"/>
        <w:autoSpaceDE/>
        <w:autoSpaceDN/>
        <w:bidi w:val="0"/>
        <w:adjustRightInd w:val="0"/>
        <w:snapToGrid w:val="0"/>
        <w:spacing w:line="480" w:lineRule="exact"/>
        <w:ind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1</w:t>
      </w:r>
      <w:r>
        <w:rPr>
          <w:rFonts w:hint="eastAsia" w:ascii="仿宋_GB2312" w:hAnsi="仿宋_GB2312" w:cs="仿宋_GB2312"/>
          <w:b/>
          <w:bCs/>
          <w:sz w:val="32"/>
          <w:szCs w:val="32"/>
          <w:lang w:val="en-US" w:eastAsia="zh-CN"/>
        </w:rPr>
        <w:t>.</w:t>
      </w:r>
      <w:r>
        <w:rPr>
          <w:rFonts w:hint="eastAsia" w:ascii="仿宋_GB2312" w:hAnsi="仿宋_GB2312" w:eastAsia="仿宋_GB2312" w:cs="仿宋_GB2312"/>
          <w:b/>
          <w:bCs/>
          <w:sz w:val="32"/>
          <w:szCs w:val="32"/>
          <w:lang w:val="zh-CN"/>
        </w:rPr>
        <w:t>项目主要内容。</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对经抢救保护后的馆藏志书《同治〈理番厅志〉》（一套六册）档案原件</w:t>
      </w:r>
      <w:r>
        <w:rPr>
          <w:rFonts w:hint="eastAsia" w:ascii="仿宋_GB2312" w:hAnsi="仿宋_GB2312" w:eastAsia="仿宋_GB2312" w:cs="仿宋_GB2312"/>
          <w:b w:val="0"/>
          <w:bCs w:val="0"/>
          <w:kern w:val="0"/>
          <w:sz w:val="32"/>
          <w:szCs w:val="32"/>
          <w:lang w:val="en-US" w:eastAsia="zh-CN" w:bidi="ar-SA"/>
        </w:rPr>
        <w:t>788页</w:t>
      </w:r>
      <w:r>
        <w:rPr>
          <w:rFonts w:hint="eastAsia" w:ascii="仿宋_GB2312" w:hAnsi="仿宋_GB2312" w:eastAsia="仿宋_GB2312" w:cs="仿宋_GB2312"/>
          <w:b w:val="0"/>
          <w:bCs w:val="0"/>
          <w:kern w:val="0"/>
          <w:sz w:val="32"/>
          <w:szCs w:val="32"/>
          <w:lang w:val="zh-CN" w:eastAsia="zh-CN" w:bidi="ar-SA"/>
        </w:rPr>
        <w:t>进行逐页数字化扫描，建立古籍志书档案全文数字化数据库，实现目录级检索，挂接准确无误。</w:t>
      </w:r>
    </w:p>
    <w:p>
      <w:pPr>
        <w:pageBreakBefore w:val="0"/>
        <w:numPr>
          <w:ilvl w:val="0"/>
          <w:numId w:val="0"/>
        </w:numPr>
        <w:kinsoku/>
        <w:wordWrap/>
        <w:overflowPunct/>
        <w:topLinePunct w:val="0"/>
        <w:autoSpaceDE/>
        <w:autoSpaceDN/>
        <w:bidi w:val="0"/>
        <w:adjustRightInd/>
        <w:snapToGrid/>
        <w:spacing w:line="480" w:lineRule="exact"/>
        <w:ind w:firstLine="642" w:firstLineChars="200"/>
        <w:textAlignment w:val="auto"/>
        <w:rPr>
          <w:rFonts w:hint="eastAsia" w:ascii="仿宋_GB2312" w:hAnsi="仿宋_GB2312" w:eastAsia="仿宋_GB2312" w:cs="仿宋_GB2312"/>
          <w:b/>
          <w:bCs/>
          <w:kern w:val="0"/>
          <w:sz w:val="32"/>
          <w:szCs w:val="32"/>
          <w:lang w:val="zh-CN" w:eastAsia="zh-CN" w:bidi="ar-SA"/>
        </w:rPr>
      </w:pPr>
      <w:r>
        <w:rPr>
          <w:rFonts w:hint="eastAsia" w:ascii="仿宋_GB2312" w:hAnsi="仿宋_GB2312" w:eastAsia="仿宋_GB2312" w:cs="仿宋_GB2312"/>
          <w:b/>
          <w:bCs/>
          <w:kern w:val="0"/>
          <w:sz w:val="32"/>
          <w:szCs w:val="32"/>
          <w:lang w:val="en-US" w:eastAsia="zh-CN" w:bidi="ar-SA"/>
        </w:rPr>
        <w:t>2.</w:t>
      </w:r>
      <w:r>
        <w:rPr>
          <w:rFonts w:hint="eastAsia" w:ascii="仿宋_GB2312" w:hAnsi="仿宋_GB2312" w:eastAsia="仿宋_GB2312" w:cs="仿宋_GB2312"/>
          <w:b/>
          <w:bCs/>
          <w:kern w:val="0"/>
          <w:sz w:val="32"/>
          <w:szCs w:val="32"/>
          <w:lang w:val="zh-CN" w:eastAsia="zh-CN" w:bidi="ar-SA"/>
        </w:rPr>
        <w:t>项目应实现的具体绩效目标。</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阿坝藏族羌族自治州档案馆数字档案馆建设项目应实现档案原件的数字化，形成了电子全文数据库。</w:t>
      </w:r>
    </w:p>
    <w:p>
      <w:pPr>
        <w:pageBreakBefore w:val="0"/>
        <w:numPr>
          <w:ilvl w:val="0"/>
          <w:numId w:val="0"/>
        </w:numPr>
        <w:kinsoku/>
        <w:wordWrap/>
        <w:overflowPunct/>
        <w:topLinePunct w:val="0"/>
        <w:autoSpaceDE/>
        <w:autoSpaceDN/>
        <w:bidi w:val="0"/>
        <w:adjustRightInd/>
        <w:snapToGrid/>
        <w:spacing w:line="480" w:lineRule="exact"/>
        <w:ind w:firstLine="642" w:firstLineChars="200"/>
        <w:textAlignment w:val="auto"/>
        <w:rPr>
          <w:rFonts w:hint="eastAsia" w:ascii="仿宋_GB2312" w:hAnsi="仿宋_GB2312" w:eastAsia="仿宋_GB2312" w:cs="仿宋_GB2312"/>
          <w:b/>
          <w:bCs/>
          <w:kern w:val="0"/>
          <w:sz w:val="32"/>
          <w:szCs w:val="32"/>
          <w:lang w:val="zh-CN" w:eastAsia="zh-CN" w:bidi="ar-SA"/>
        </w:rPr>
      </w:pPr>
      <w:r>
        <w:rPr>
          <w:rFonts w:hint="eastAsia" w:ascii="仿宋_GB2312" w:hAnsi="仿宋_GB2312" w:eastAsia="仿宋_GB2312" w:cs="仿宋_GB2312"/>
          <w:b/>
          <w:bCs/>
          <w:kern w:val="0"/>
          <w:sz w:val="32"/>
          <w:szCs w:val="32"/>
          <w:lang w:val="en-US" w:eastAsia="zh-CN" w:bidi="ar-SA"/>
        </w:rPr>
        <w:t>3.</w:t>
      </w:r>
      <w:r>
        <w:rPr>
          <w:rFonts w:hint="eastAsia" w:ascii="仿宋_GB2312" w:hAnsi="仿宋_GB2312" w:eastAsia="仿宋_GB2312" w:cs="仿宋_GB2312"/>
          <w:b/>
          <w:bCs/>
          <w:kern w:val="0"/>
          <w:sz w:val="32"/>
          <w:szCs w:val="32"/>
          <w:lang w:val="zh-CN" w:eastAsia="zh-CN" w:bidi="ar-SA"/>
        </w:rPr>
        <w:t>分析评价申报内容的符合性。</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申报内容与实际相符，极大程序地抢救和保护了古籍资料。</w:t>
      </w:r>
    </w:p>
    <w:p>
      <w:pPr>
        <w:keepNext w:val="0"/>
        <w:keepLines w:val="0"/>
        <w:pageBreakBefore w:val="0"/>
        <w:kinsoku/>
        <w:wordWrap/>
        <w:overflowPunct/>
        <w:topLinePunct w:val="0"/>
        <w:autoSpaceDE/>
        <w:autoSpaceDN/>
        <w:bidi w:val="0"/>
        <w:adjustRightInd w:val="0"/>
        <w:snapToGrid w:val="0"/>
        <w:spacing w:line="480" w:lineRule="exact"/>
        <w:ind w:firstLine="720"/>
        <w:textAlignment w:val="auto"/>
        <w:rPr>
          <w:rFonts w:hint="eastAsia" w:ascii="楷体_GB2312" w:hAnsi="宋体" w:eastAsia="楷体_GB2312" w:cs="宋体"/>
          <w:color w:val="000000"/>
          <w:kern w:val="0"/>
          <w:sz w:val="32"/>
          <w:szCs w:val="32"/>
          <w:shd w:val="clear" w:color="auto" w:fill="FFFFFF"/>
          <w:lang w:val="zh-CN" w:eastAsia="zh-CN" w:bidi="ar-SA"/>
        </w:rPr>
      </w:pPr>
      <w:r>
        <w:rPr>
          <w:rFonts w:hint="eastAsia" w:ascii="楷体_GB2312" w:hAnsi="宋体" w:eastAsia="楷体_GB2312" w:cs="宋体"/>
          <w:color w:val="000000"/>
          <w:kern w:val="0"/>
          <w:sz w:val="32"/>
          <w:szCs w:val="32"/>
          <w:shd w:val="clear" w:color="auto" w:fill="FFFFFF"/>
          <w:lang w:val="zh-CN" w:eastAsia="zh-CN" w:bidi="ar-SA"/>
        </w:rPr>
        <w:t>（三）项目自评步骤及方法</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按照项目内控程序要求，做好对馆务会的汇报和对州纪委监委派驻州委办公室纪检监察组备案，通过竞争性磋商方式确定了供应商为四川大学出版社有限公司，在对《理番厅志》进行抢救保护和数字化的过程中，经常电话联系工作进度，并在领导的亲自过问下，于12月1日完成了成果验收。</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黑体"/>
          <w:b w:val="0"/>
          <w:bCs w:val="0"/>
          <w:kern w:val="0"/>
          <w:sz w:val="32"/>
          <w:szCs w:val="32"/>
          <w:lang w:val="zh-CN" w:eastAsia="zh-CN" w:bidi="ar-SA"/>
        </w:rPr>
      </w:pPr>
      <w:r>
        <w:rPr>
          <w:rFonts w:hint="eastAsia" w:ascii="黑体" w:hAnsi="黑体" w:eastAsia="黑体" w:cs="黑体"/>
          <w:b w:val="0"/>
          <w:bCs w:val="0"/>
          <w:kern w:val="0"/>
          <w:sz w:val="32"/>
          <w:szCs w:val="32"/>
          <w:lang w:val="zh-CN" w:eastAsia="zh-CN" w:bidi="ar-SA"/>
        </w:rPr>
        <w:t>二、项目资金申报及使用情况</w:t>
      </w:r>
    </w:p>
    <w:p>
      <w:pPr>
        <w:keepNext w:val="0"/>
        <w:keepLines w:val="0"/>
        <w:pageBreakBefore w:val="0"/>
        <w:kinsoku/>
        <w:wordWrap/>
        <w:overflowPunct/>
        <w:topLinePunct w:val="0"/>
        <w:autoSpaceDE/>
        <w:autoSpaceDN/>
        <w:bidi w:val="0"/>
        <w:adjustRightInd w:val="0"/>
        <w:snapToGrid w:val="0"/>
        <w:spacing w:line="480" w:lineRule="exact"/>
        <w:ind w:firstLine="720"/>
        <w:textAlignment w:val="auto"/>
        <w:rPr>
          <w:rFonts w:hint="eastAsia" w:ascii="楷体_GB2312" w:hAnsi="宋体" w:eastAsia="楷体_GB2312" w:cs="宋体"/>
          <w:color w:val="000000"/>
          <w:kern w:val="0"/>
          <w:sz w:val="32"/>
          <w:szCs w:val="32"/>
          <w:shd w:val="clear" w:color="auto" w:fill="FFFFFF"/>
          <w:lang w:val="zh-CN" w:eastAsia="zh-CN" w:bidi="ar-SA"/>
        </w:rPr>
      </w:pPr>
      <w:r>
        <w:rPr>
          <w:rFonts w:hint="eastAsia" w:ascii="楷体_GB2312" w:hAnsi="宋体" w:eastAsia="楷体_GB2312" w:cs="宋体"/>
          <w:color w:val="000000"/>
          <w:kern w:val="0"/>
          <w:sz w:val="32"/>
          <w:szCs w:val="32"/>
          <w:shd w:val="clear" w:color="auto" w:fill="FFFFFF"/>
          <w:lang w:val="zh-CN" w:eastAsia="zh-CN" w:bidi="ar-SA"/>
        </w:rPr>
        <w:t>（一）项目资金申报及批复情况</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项目资金是根据阿坝州档案馆信息化建设发展需要纳入全州档案事业发展规划，并一直持续性由州财政给予每年</w:t>
      </w:r>
      <w:r>
        <w:rPr>
          <w:rFonts w:hint="eastAsia" w:ascii="仿宋_GB2312" w:hAnsi="仿宋_GB2312" w:eastAsia="仿宋_GB2312" w:cs="仿宋_GB2312"/>
          <w:b w:val="0"/>
          <w:bCs w:val="0"/>
          <w:kern w:val="0"/>
          <w:sz w:val="32"/>
          <w:szCs w:val="32"/>
          <w:lang w:val="en-US" w:eastAsia="zh-CN" w:bidi="ar-SA"/>
        </w:rPr>
        <w:t>20万元的</w:t>
      </w:r>
      <w:r>
        <w:rPr>
          <w:rFonts w:hint="eastAsia" w:ascii="仿宋_GB2312" w:hAnsi="仿宋_GB2312" w:eastAsia="仿宋_GB2312" w:cs="仿宋_GB2312"/>
          <w:b w:val="0"/>
          <w:bCs w:val="0"/>
          <w:kern w:val="0"/>
          <w:sz w:val="32"/>
          <w:szCs w:val="32"/>
          <w:lang w:val="zh-CN" w:eastAsia="zh-CN" w:bidi="ar-SA"/>
        </w:rPr>
        <w:t>经费投入。</w:t>
      </w:r>
    </w:p>
    <w:p>
      <w:pPr>
        <w:keepNext w:val="0"/>
        <w:keepLines w:val="0"/>
        <w:pageBreakBefore w:val="0"/>
        <w:kinsoku/>
        <w:wordWrap/>
        <w:overflowPunct/>
        <w:topLinePunct w:val="0"/>
        <w:autoSpaceDE/>
        <w:autoSpaceDN/>
        <w:bidi w:val="0"/>
        <w:adjustRightInd w:val="0"/>
        <w:snapToGrid w:val="0"/>
        <w:spacing w:line="480" w:lineRule="exact"/>
        <w:ind w:firstLine="720"/>
        <w:textAlignment w:val="auto"/>
        <w:rPr>
          <w:rFonts w:hint="eastAsia" w:ascii="楷体_GB2312" w:hAnsi="宋体" w:eastAsia="楷体_GB2312" w:cs="宋体"/>
          <w:color w:val="000000"/>
          <w:kern w:val="0"/>
          <w:sz w:val="32"/>
          <w:szCs w:val="32"/>
          <w:shd w:val="clear" w:color="auto" w:fill="FFFFFF"/>
          <w:lang w:val="zh-CN" w:eastAsia="zh-CN" w:bidi="ar-SA"/>
        </w:rPr>
      </w:pPr>
      <w:r>
        <w:rPr>
          <w:rFonts w:hint="eastAsia" w:ascii="楷体_GB2312" w:hAnsi="宋体" w:eastAsia="楷体_GB2312" w:cs="宋体"/>
          <w:color w:val="000000"/>
          <w:kern w:val="0"/>
          <w:sz w:val="32"/>
          <w:szCs w:val="32"/>
          <w:shd w:val="clear" w:color="auto" w:fill="FFFFFF"/>
          <w:lang w:val="zh-CN" w:eastAsia="zh-CN" w:bidi="ar-SA"/>
        </w:rPr>
        <w:t>（二）资金计划、到位及使用情况</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zh-CN" w:eastAsia="zh-CN" w:bidi="ar-SA"/>
        </w:rPr>
        <w:t>资金计划为</w:t>
      </w:r>
      <w:r>
        <w:rPr>
          <w:rFonts w:hint="eastAsia" w:ascii="仿宋_GB2312" w:hAnsi="仿宋_GB2312" w:eastAsia="仿宋_GB2312" w:cs="仿宋_GB2312"/>
          <w:b w:val="0"/>
          <w:bCs w:val="0"/>
          <w:kern w:val="0"/>
          <w:sz w:val="32"/>
          <w:szCs w:val="32"/>
          <w:lang w:val="en-US" w:eastAsia="zh-CN" w:bidi="ar-SA"/>
        </w:rPr>
        <w:t>20万元，实际</w:t>
      </w:r>
      <w:r>
        <w:rPr>
          <w:rFonts w:hint="eastAsia" w:ascii="仿宋_GB2312" w:hAnsi="仿宋_GB2312" w:eastAsia="仿宋_GB2312" w:cs="仿宋_GB2312"/>
          <w:b w:val="0"/>
          <w:bCs w:val="0"/>
          <w:kern w:val="0"/>
          <w:sz w:val="32"/>
          <w:szCs w:val="32"/>
          <w:lang w:val="zh-CN" w:eastAsia="zh-CN" w:bidi="ar-SA"/>
        </w:rPr>
        <w:t>到位资金为</w:t>
      </w:r>
      <w:r>
        <w:rPr>
          <w:rFonts w:hint="eastAsia" w:ascii="仿宋_GB2312" w:hAnsi="仿宋_GB2312" w:eastAsia="仿宋_GB2312" w:cs="仿宋_GB2312"/>
          <w:b w:val="0"/>
          <w:bCs w:val="0"/>
          <w:kern w:val="0"/>
          <w:sz w:val="32"/>
          <w:szCs w:val="32"/>
          <w:lang w:val="en-US" w:eastAsia="zh-CN" w:bidi="ar-SA"/>
        </w:rPr>
        <w:t>20万元。主要是对馆藏档案进行数字化加工，每年根据实际情况决定对馆藏档案按单价招标进行数字化，旨在提高档案数字化率，当年资金使用了19.24万元。</w:t>
      </w:r>
    </w:p>
    <w:p>
      <w:pPr>
        <w:keepNext w:val="0"/>
        <w:keepLines w:val="0"/>
        <w:pageBreakBefore w:val="0"/>
        <w:kinsoku/>
        <w:wordWrap/>
        <w:overflowPunct/>
        <w:topLinePunct w:val="0"/>
        <w:autoSpaceDE/>
        <w:autoSpaceDN/>
        <w:bidi w:val="0"/>
        <w:adjustRightInd w:val="0"/>
        <w:snapToGrid w:val="0"/>
        <w:spacing w:line="480" w:lineRule="exact"/>
        <w:ind w:firstLine="720"/>
        <w:textAlignment w:val="auto"/>
        <w:rPr>
          <w:rFonts w:hint="eastAsia" w:ascii="楷体_GB2312" w:hAnsi="宋体" w:eastAsia="楷体_GB2312" w:cs="宋体"/>
          <w:color w:val="000000"/>
          <w:kern w:val="0"/>
          <w:sz w:val="32"/>
          <w:szCs w:val="32"/>
          <w:shd w:val="clear" w:color="auto" w:fill="FFFFFF"/>
          <w:lang w:val="zh-CN" w:eastAsia="zh-CN" w:bidi="ar-SA"/>
        </w:rPr>
      </w:pPr>
      <w:r>
        <w:rPr>
          <w:rFonts w:hint="eastAsia" w:ascii="楷体_GB2312" w:hAnsi="宋体" w:eastAsia="楷体_GB2312" w:cs="宋体"/>
          <w:color w:val="000000"/>
          <w:kern w:val="0"/>
          <w:sz w:val="32"/>
          <w:szCs w:val="32"/>
          <w:shd w:val="clear" w:color="auto" w:fill="FFFFFF"/>
          <w:lang w:val="zh-CN" w:eastAsia="zh-CN" w:bidi="ar-SA"/>
        </w:rPr>
        <w:t>（三）项目财务管理情况</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我馆制定并完善了财务管理制度并严格执行，账务处理比较及时，会计核算比较规范。</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黑体"/>
          <w:b w:val="0"/>
          <w:bCs w:val="0"/>
          <w:kern w:val="0"/>
          <w:sz w:val="32"/>
          <w:szCs w:val="32"/>
          <w:lang w:val="zh-CN" w:eastAsia="zh-CN" w:bidi="ar-SA"/>
        </w:rPr>
      </w:pPr>
      <w:r>
        <w:rPr>
          <w:rFonts w:hint="eastAsia" w:ascii="黑体" w:hAnsi="黑体" w:eastAsia="黑体" w:cs="黑体"/>
          <w:b w:val="0"/>
          <w:bCs w:val="0"/>
          <w:kern w:val="0"/>
          <w:sz w:val="32"/>
          <w:szCs w:val="32"/>
          <w:lang w:val="zh-CN" w:eastAsia="zh-CN" w:bidi="ar-SA"/>
        </w:rPr>
        <w:t>三、项目实施及管理情况</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项目由信息技术科负责实施，通过成立项目磋商小组，采用竞争性磋商方式进行内控程序，集体决策，并通过单位相关科室密切配合进行实施和管理。</w:t>
      </w:r>
    </w:p>
    <w:p>
      <w:pPr>
        <w:keepNext w:val="0"/>
        <w:keepLines w:val="0"/>
        <w:pageBreakBefore w:val="0"/>
        <w:kinsoku/>
        <w:wordWrap/>
        <w:overflowPunct/>
        <w:topLinePunct w:val="0"/>
        <w:autoSpaceDE/>
        <w:autoSpaceDN/>
        <w:bidi w:val="0"/>
        <w:adjustRightInd w:val="0"/>
        <w:snapToGrid w:val="0"/>
        <w:spacing w:line="480" w:lineRule="exact"/>
        <w:ind w:firstLine="720"/>
        <w:textAlignment w:val="auto"/>
        <w:rPr>
          <w:rFonts w:hint="eastAsia" w:ascii="楷体_GB2312" w:hAnsi="宋体" w:eastAsia="楷体_GB2312" w:cs="宋体"/>
          <w:color w:val="000000"/>
          <w:kern w:val="0"/>
          <w:sz w:val="32"/>
          <w:szCs w:val="32"/>
          <w:shd w:val="clear" w:color="auto" w:fill="FFFFFF"/>
          <w:lang w:val="zh-CN" w:eastAsia="zh-CN" w:bidi="ar-SA"/>
        </w:rPr>
      </w:pPr>
      <w:r>
        <w:rPr>
          <w:rFonts w:hint="eastAsia" w:ascii="楷体_GB2312" w:hAnsi="宋体" w:eastAsia="楷体_GB2312" w:cs="宋体"/>
          <w:color w:val="000000"/>
          <w:kern w:val="0"/>
          <w:sz w:val="32"/>
          <w:szCs w:val="32"/>
          <w:shd w:val="clear" w:color="auto" w:fill="FFFFFF"/>
          <w:lang w:val="zh-CN" w:eastAsia="zh-CN" w:bidi="ar-SA"/>
        </w:rPr>
        <w:t>（</w:t>
      </w:r>
      <w:r>
        <w:rPr>
          <w:rFonts w:hint="eastAsia" w:ascii="楷体_GB2312" w:hAnsi="宋体" w:eastAsia="楷体_GB2312" w:cs="宋体"/>
          <w:color w:val="000000"/>
          <w:kern w:val="0"/>
          <w:sz w:val="32"/>
          <w:szCs w:val="32"/>
          <w:shd w:val="clear" w:color="auto" w:fill="FFFFFF"/>
          <w:lang w:val="en-US" w:eastAsia="zh-CN" w:bidi="ar-SA"/>
        </w:rPr>
        <w:t>一</w:t>
      </w:r>
      <w:r>
        <w:rPr>
          <w:rFonts w:hint="eastAsia" w:ascii="楷体_GB2312" w:hAnsi="宋体" w:eastAsia="楷体_GB2312" w:cs="宋体"/>
          <w:color w:val="000000"/>
          <w:kern w:val="0"/>
          <w:sz w:val="32"/>
          <w:szCs w:val="32"/>
          <w:shd w:val="clear" w:color="auto" w:fill="FFFFFF"/>
          <w:lang w:val="zh-CN" w:eastAsia="zh-CN" w:bidi="ar-SA"/>
        </w:rPr>
        <w:t>）项目组织架构及实施流程。</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项目的组织实施由信息技术科负责，成立了竞争性磋商领导小组，并及时填报“三重一大”备案表，在实施内控程序的各个环节，做好对馆务会的报告和州纪检组的报告，经馆务会和纪检组通过后，在阿坝州档案馆官网上发布公告，通过综合评分的方式来确定供应商。</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202</w:t>
      </w:r>
      <w:r>
        <w:rPr>
          <w:rFonts w:hint="eastAsia" w:ascii="仿宋_GB2312" w:hAnsi="仿宋_GB2312" w:eastAsia="仿宋_GB2312" w:cs="仿宋_GB2312"/>
          <w:b w:val="0"/>
          <w:bCs w:val="0"/>
          <w:kern w:val="0"/>
          <w:sz w:val="32"/>
          <w:szCs w:val="32"/>
          <w:lang w:val="en-US" w:eastAsia="zh-CN" w:bidi="ar-SA"/>
        </w:rPr>
        <w:t>1</w:t>
      </w:r>
      <w:r>
        <w:rPr>
          <w:rFonts w:hint="eastAsia" w:ascii="仿宋_GB2312" w:hAnsi="仿宋_GB2312" w:eastAsia="仿宋_GB2312" w:cs="仿宋_GB2312"/>
          <w:b w:val="0"/>
          <w:bCs w:val="0"/>
          <w:kern w:val="0"/>
          <w:sz w:val="32"/>
          <w:szCs w:val="32"/>
          <w:lang w:val="zh-CN" w:eastAsia="zh-CN" w:bidi="ar-SA"/>
        </w:rPr>
        <w:t>年</w:t>
      </w:r>
      <w:r>
        <w:rPr>
          <w:rFonts w:hint="eastAsia" w:ascii="仿宋_GB2312" w:hAnsi="仿宋_GB2312" w:eastAsia="仿宋_GB2312" w:cs="仿宋_GB2312"/>
          <w:b w:val="0"/>
          <w:bCs w:val="0"/>
          <w:kern w:val="0"/>
          <w:sz w:val="32"/>
          <w:szCs w:val="32"/>
          <w:lang w:val="en-US" w:eastAsia="zh-CN" w:bidi="ar-SA"/>
        </w:rPr>
        <w:t>9</w:t>
      </w:r>
      <w:r>
        <w:rPr>
          <w:rFonts w:hint="eastAsia" w:ascii="仿宋_GB2312" w:hAnsi="仿宋_GB2312" w:eastAsia="仿宋_GB2312" w:cs="仿宋_GB2312"/>
          <w:b w:val="0"/>
          <w:bCs w:val="0"/>
          <w:kern w:val="0"/>
          <w:sz w:val="32"/>
          <w:szCs w:val="32"/>
          <w:lang w:val="zh-CN" w:eastAsia="zh-CN" w:bidi="ar-SA"/>
        </w:rPr>
        <w:t>月</w:t>
      </w:r>
      <w:r>
        <w:rPr>
          <w:rFonts w:hint="eastAsia" w:ascii="仿宋_GB2312" w:hAnsi="仿宋_GB2312" w:eastAsia="仿宋_GB2312" w:cs="仿宋_GB2312"/>
          <w:b w:val="0"/>
          <w:bCs w:val="0"/>
          <w:kern w:val="0"/>
          <w:sz w:val="32"/>
          <w:szCs w:val="32"/>
          <w:lang w:val="en-US" w:eastAsia="zh-CN" w:bidi="ar-SA"/>
        </w:rPr>
        <w:t>23</w:t>
      </w:r>
      <w:r>
        <w:rPr>
          <w:rFonts w:hint="eastAsia" w:ascii="仿宋_GB2312" w:hAnsi="仿宋_GB2312" w:eastAsia="仿宋_GB2312" w:cs="仿宋_GB2312"/>
          <w:b w:val="0"/>
          <w:bCs w:val="0"/>
          <w:kern w:val="0"/>
          <w:sz w:val="32"/>
          <w:szCs w:val="32"/>
          <w:lang w:val="zh-CN" w:eastAsia="zh-CN" w:bidi="ar-SA"/>
        </w:rPr>
        <w:t>日上午</w:t>
      </w:r>
      <w:r>
        <w:rPr>
          <w:rFonts w:hint="eastAsia" w:ascii="仿宋_GB2312" w:hAnsi="仿宋_GB2312" w:eastAsia="仿宋_GB2312" w:cs="仿宋_GB2312"/>
          <w:b w:val="0"/>
          <w:bCs w:val="0"/>
          <w:kern w:val="0"/>
          <w:sz w:val="32"/>
          <w:szCs w:val="32"/>
          <w:lang w:val="en-US" w:eastAsia="zh-CN" w:bidi="ar-SA"/>
        </w:rPr>
        <w:t>10点</w:t>
      </w:r>
      <w:r>
        <w:rPr>
          <w:rFonts w:hint="eastAsia" w:ascii="仿宋_GB2312" w:hAnsi="仿宋_GB2312" w:eastAsia="仿宋_GB2312" w:cs="仿宋_GB2312"/>
          <w:b w:val="0"/>
          <w:bCs w:val="0"/>
          <w:kern w:val="0"/>
          <w:sz w:val="32"/>
          <w:szCs w:val="32"/>
          <w:lang w:val="zh-CN" w:eastAsia="zh-CN" w:bidi="ar-SA"/>
        </w:rPr>
        <w:t>，阿坝州档案馆按照《中华人民共和国政府采购法》《阿坝州档案馆2021年部门预算编制说明》有关规定，成立了由馆长王勇为组长，周英、阿桑、桑金措、王晓芳4人作为成员的“阿坝州档案馆数字档案馆建设服务采购项目”磋商小组，磋商小组对项目进行磋商采购，李小康作为本次采购的监督人员对采购过程进行全程监督。</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此次采购采购共有三家档案服务公司参与投标，分别为四川大学出版社有限责任公司、成都电子科大出版社有限责任公司、成都西南财大出版社有限责任公司，磋商小组严格按照《中华人民共和国政府采购法》《阿坝州财政局关于印发阿坝州级单位政府采购内控管理制度示范文本的通知》（阿州财采〔</w:t>
      </w:r>
      <w:r>
        <w:rPr>
          <w:rFonts w:hint="eastAsia" w:ascii="仿宋_GB2312" w:hAnsi="仿宋_GB2312" w:eastAsia="仿宋_GB2312" w:cs="仿宋_GB2312"/>
          <w:b w:val="0"/>
          <w:bCs w:val="0"/>
          <w:kern w:val="0"/>
          <w:sz w:val="32"/>
          <w:szCs w:val="32"/>
          <w:lang w:val="en-US" w:eastAsia="zh-CN" w:bidi="ar-SA"/>
        </w:rPr>
        <w:t>2021</w:t>
      </w:r>
      <w:r>
        <w:rPr>
          <w:rFonts w:hint="eastAsia" w:ascii="仿宋_GB2312" w:hAnsi="仿宋_GB2312" w:eastAsia="仿宋_GB2312" w:cs="仿宋_GB2312"/>
          <w:b w:val="0"/>
          <w:bCs w:val="0"/>
          <w:kern w:val="0"/>
          <w:sz w:val="32"/>
          <w:szCs w:val="32"/>
          <w:lang w:val="zh-CN" w:eastAsia="zh-CN" w:bidi="ar-SA"/>
        </w:rPr>
        <w:t>〕</w:t>
      </w:r>
      <w:r>
        <w:rPr>
          <w:rFonts w:hint="eastAsia" w:ascii="仿宋_GB2312" w:hAnsi="仿宋_GB2312" w:eastAsia="仿宋_GB2312" w:cs="仿宋_GB2312"/>
          <w:b w:val="0"/>
          <w:bCs w:val="0"/>
          <w:kern w:val="0"/>
          <w:sz w:val="32"/>
          <w:szCs w:val="32"/>
          <w:lang w:val="en-US" w:eastAsia="zh-CN" w:bidi="ar-SA"/>
        </w:rPr>
        <w:t>46号</w:t>
      </w:r>
      <w:r>
        <w:rPr>
          <w:rFonts w:hint="eastAsia" w:ascii="仿宋_GB2312" w:hAnsi="仿宋_GB2312" w:eastAsia="仿宋_GB2312" w:cs="仿宋_GB2312"/>
          <w:b w:val="0"/>
          <w:bCs w:val="0"/>
          <w:kern w:val="0"/>
          <w:sz w:val="32"/>
          <w:szCs w:val="32"/>
          <w:lang w:val="zh-CN" w:eastAsia="zh-CN" w:bidi="ar-SA"/>
        </w:rPr>
        <w:t>）文件，对三家公司的资质与投标文件进行了资格性审查和符合性审查，确认三家公司都符合投标要求。随后磋商小组结合项目《竞争性磋商文件》与投标标书内容，分别对三家公司的报价、服务方案、综合实力、售后服务、人员配备、设施设备、履约能力、扶持不发达地区和少数民族地区及响应文件的规范性等方面进行了详细的审查评分。</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磋商小组对5位磋商评委分值进行汇总，按照《中华人民共和国政府采购法》及项目《竞争性磋商文件》的有关规定，磋商小组一致同意，确定成交供应商。并在阿坝州档案馆官网上发布中标公告，无异议后发出中标通知书，并签定合同，开始项目的实施。项目实施完成后，成立验收小组，对项目成果进行验收，并拨付相关款项。</w:t>
      </w:r>
    </w:p>
    <w:p>
      <w:pPr>
        <w:keepNext w:val="0"/>
        <w:keepLines w:val="0"/>
        <w:pageBreakBefore w:val="0"/>
        <w:kinsoku/>
        <w:wordWrap/>
        <w:overflowPunct/>
        <w:topLinePunct w:val="0"/>
        <w:autoSpaceDE/>
        <w:autoSpaceDN/>
        <w:bidi w:val="0"/>
        <w:adjustRightInd w:val="0"/>
        <w:snapToGrid w:val="0"/>
        <w:spacing w:line="480" w:lineRule="exact"/>
        <w:ind w:firstLine="720"/>
        <w:textAlignment w:val="auto"/>
        <w:rPr>
          <w:rFonts w:hint="eastAsia" w:ascii="楷体_GB2312" w:hAnsi="宋体" w:eastAsia="楷体_GB2312" w:cs="宋体"/>
          <w:color w:val="000000"/>
          <w:kern w:val="0"/>
          <w:sz w:val="32"/>
          <w:szCs w:val="32"/>
          <w:shd w:val="clear" w:color="auto" w:fill="FFFFFF"/>
          <w:lang w:val="zh-CN" w:eastAsia="zh-CN" w:bidi="ar-SA"/>
        </w:rPr>
      </w:pPr>
      <w:r>
        <w:rPr>
          <w:rFonts w:hint="eastAsia" w:ascii="楷体_GB2312" w:hAnsi="宋体" w:eastAsia="楷体_GB2312" w:cs="宋体"/>
          <w:color w:val="000000"/>
          <w:kern w:val="0"/>
          <w:sz w:val="32"/>
          <w:szCs w:val="32"/>
          <w:shd w:val="clear" w:color="auto" w:fill="FFFFFF"/>
          <w:lang w:val="zh-CN" w:eastAsia="zh-CN" w:bidi="ar-SA"/>
        </w:rPr>
        <w:t>（</w:t>
      </w:r>
      <w:r>
        <w:rPr>
          <w:rFonts w:hint="eastAsia" w:ascii="楷体_GB2312" w:hAnsi="宋体" w:eastAsia="楷体_GB2312" w:cs="宋体"/>
          <w:color w:val="000000"/>
          <w:kern w:val="0"/>
          <w:sz w:val="32"/>
          <w:szCs w:val="32"/>
          <w:shd w:val="clear" w:color="auto" w:fill="FFFFFF"/>
          <w:lang w:val="en-US" w:eastAsia="zh-CN" w:bidi="ar-SA"/>
        </w:rPr>
        <w:t>二</w:t>
      </w:r>
      <w:r>
        <w:rPr>
          <w:rFonts w:hint="eastAsia" w:ascii="楷体_GB2312" w:hAnsi="宋体" w:eastAsia="楷体_GB2312" w:cs="宋体"/>
          <w:color w:val="000000"/>
          <w:kern w:val="0"/>
          <w:sz w:val="32"/>
          <w:szCs w:val="32"/>
          <w:shd w:val="clear" w:color="auto" w:fill="FFFFFF"/>
          <w:lang w:val="zh-CN" w:eastAsia="zh-CN" w:bidi="ar-SA"/>
        </w:rPr>
        <w:t>）项目管理情况</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项目实施流程规范，在实施过程中，严格按照财经纪律进行，对财务制度不清楚，不了解的地方随时咨询州纪委监委派驻州委办公室纪检监察组和州财政局相关科室，同时，在阿坝州档案馆官网上进行了公示，做到公开、透明，资金使用合理，安全，达到数字化的最佳效果。</w:t>
      </w:r>
    </w:p>
    <w:p>
      <w:pPr>
        <w:keepNext w:val="0"/>
        <w:keepLines w:val="0"/>
        <w:pageBreakBefore w:val="0"/>
        <w:kinsoku/>
        <w:wordWrap/>
        <w:overflowPunct/>
        <w:topLinePunct w:val="0"/>
        <w:autoSpaceDE/>
        <w:autoSpaceDN/>
        <w:bidi w:val="0"/>
        <w:adjustRightInd w:val="0"/>
        <w:snapToGrid w:val="0"/>
        <w:spacing w:line="480" w:lineRule="exact"/>
        <w:ind w:firstLine="720"/>
        <w:textAlignment w:val="auto"/>
        <w:rPr>
          <w:rFonts w:hint="eastAsia" w:ascii="楷体_GB2312" w:hAnsi="宋体" w:eastAsia="楷体_GB2312" w:cs="宋体"/>
          <w:color w:val="000000"/>
          <w:kern w:val="0"/>
          <w:sz w:val="32"/>
          <w:szCs w:val="32"/>
          <w:shd w:val="clear" w:color="auto" w:fill="FFFFFF"/>
          <w:lang w:val="zh-CN" w:eastAsia="zh-CN" w:bidi="ar-SA"/>
        </w:rPr>
      </w:pPr>
      <w:r>
        <w:rPr>
          <w:rFonts w:hint="eastAsia" w:ascii="楷体_GB2312" w:hAnsi="宋体" w:eastAsia="楷体_GB2312" w:cs="宋体"/>
          <w:color w:val="000000"/>
          <w:kern w:val="0"/>
          <w:sz w:val="32"/>
          <w:szCs w:val="32"/>
          <w:shd w:val="clear" w:color="auto" w:fill="FFFFFF"/>
          <w:lang w:val="zh-CN" w:eastAsia="zh-CN" w:bidi="ar-SA"/>
        </w:rPr>
        <w:t>（</w:t>
      </w:r>
      <w:r>
        <w:rPr>
          <w:rFonts w:hint="eastAsia" w:ascii="楷体_GB2312" w:hAnsi="宋体" w:eastAsia="楷体_GB2312" w:cs="宋体"/>
          <w:color w:val="000000"/>
          <w:kern w:val="0"/>
          <w:sz w:val="32"/>
          <w:szCs w:val="32"/>
          <w:shd w:val="clear" w:color="auto" w:fill="FFFFFF"/>
          <w:lang w:val="en-US" w:eastAsia="zh-CN" w:bidi="ar-SA"/>
        </w:rPr>
        <w:t>三</w:t>
      </w:r>
      <w:r>
        <w:rPr>
          <w:rFonts w:hint="eastAsia" w:ascii="楷体_GB2312" w:hAnsi="宋体" w:eastAsia="楷体_GB2312" w:cs="宋体"/>
          <w:color w:val="000000"/>
          <w:kern w:val="0"/>
          <w:sz w:val="32"/>
          <w:szCs w:val="32"/>
          <w:shd w:val="clear" w:color="auto" w:fill="FFFFFF"/>
          <w:lang w:val="zh-CN" w:eastAsia="zh-CN" w:bidi="ar-SA"/>
        </w:rPr>
        <w:t>）项目监管情况</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项目的监管部门主要是州纪检组和州财政局，监管手段是首先是对项目填报重大事项决策报备表，在召开涉及重大决策的会议前，我馆提前3个工作日向州纪委监委派驻州委办公室纪检监察组提交相关文件、法律法规和政策依据等相关资料；相关会议召开后及时将该次会议纪要及相关资料报送州纪委监委派驻州委办公室第一纪检监察组备案。州财政局的监管是在项目前期资金拨付时需确定采购的方式和程序，在项目款支付过程中做好合同的审核和各项材料的完整．该项目实施以来，效果比较明显，适时抢救和保护了古籍资料的完整和科研成果的后续利用。</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黑体"/>
          <w:b w:val="0"/>
          <w:bCs w:val="0"/>
          <w:kern w:val="0"/>
          <w:sz w:val="32"/>
          <w:szCs w:val="32"/>
          <w:lang w:val="zh-CN" w:eastAsia="zh-CN" w:bidi="ar-SA"/>
        </w:rPr>
      </w:pPr>
      <w:r>
        <w:rPr>
          <w:rFonts w:hint="eastAsia" w:ascii="黑体" w:hAnsi="黑体" w:eastAsia="黑体" w:cs="黑体"/>
          <w:b w:val="0"/>
          <w:bCs w:val="0"/>
          <w:kern w:val="0"/>
          <w:sz w:val="32"/>
          <w:szCs w:val="32"/>
          <w:lang w:val="zh-CN" w:eastAsia="zh-CN" w:bidi="ar-SA"/>
        </w:rPr>
        <w:t>四、项目绩效情况</w:t>
      </w:r>
      <w:r>
        <w:rPr>
          <w:rFonts w:hint="eastAsia" w:ascii="黑体" w:hAnsi="黑体" w:eastAsia="黑体" w:cs="黑体"/>
          <w:b w:val="0"/>
          <w:bCs w:val="0"/>
          <w:kern w:val="0"/>
          <w:sz w:val="32"/>
          <w:szCs w:val="32"/>
          <w:lang w:val="zh-CN" w:eastAsia="zh-CN" w:bidi="ar-SA"/>
        </w:rPr>
        <w:tab/>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阿坝藏族羌族自治州档案馆数字档案馆建设项目扫描了《同治〈理番厅志〉》（一套六册）</w:t>
      </w:r>
      <w:r>
        <w:rPr>
          <w:rFonts w:hint="eastAsia" w:ascii="仿宋_GB2312" w:hAnsi="仿宋_GB2312" w:eastAsia="仿宋_GB2312" w:cs="仿宋_GB2312"/>
          <w:b w:val="0"/>
          <w:bCs w:val="0"/>
          <w:kern w:val="0"/>
          <w:sz w:val="32"/>
          <w:szCs w:val="32"/>
          <w:lang w:val="en-US" w:eastAsia="zh-CN" w:bidi="ar-SA"/>
        </w:rPr>
        <w:t>高清电子文件399个，建立了全文数据库1个，质量标准较高，按照合同约定时间完成了数字化扫描和全文数字库建设。</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项目的社会效益明显，对于研究清朝同治时期的理番县的地理位置、人文风俗和事件概览具有极大的参考作用。</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黑体"/>
          <w:b w:val="0"/>
          <w:bCs w:val="0"/>
          <w:kern w:val="0"/>
          <w:sz w:val="32"/>
          <w:szCs w:val="32"/>
          <w:lang w:val="zh-CN" w:eastAsia="zh-CN" w:bidi="ar-SA"/>
        </w:rPr>
      </w:pPr>
      <w:r>
        <w:rPr>
          <w:rFonts w:hint="eastAsia" w:ascii="黑体" w:hAnsi="黑体" w:eastAsia="黑体" w:cs="黑体"/>
          <w:b w:val="0"/>
          <w:bCs w:val="0"/>
          <w:kern w:val="0"/>
          <w:sz w:val="32"/>
          <w:szCs w:val="32"/>
          <w:lang w:val="zh-CN" w:eastAsia="zh-CN" w:bidi="ar-SA"/>
        </w:rPr>
        <w:t>五、评价结论及建议</w:t>
      </w:r>
    </w:p>
    <w:p>
      <w:pPr>
        <w:keepNext w:val="0"/>
        <w:keepLines w:val="0"/>
        <w:pageBreakBefore w:val="0"/>
        <w:kinsoku/>
        <w:wordWrap/>
        <w:overflowPunct/>
        <w:topLinePunct w:val="0"/>
        <w:autoSpaceDE/>
        <w:autoSpaceDN/>
        <w:bidi w:val="0"/>
        <w:adjustRightInd w:val="0"/>
        <w:snapToGrid w:val="0"/>
        <w:spacing w:line="480" w:lineRule="exact"/>
        <w:ind w:firstLine="720"/>
        <w:textAlignment w:val="auto"/>
        <w:rPr>
          <w:rFonts w:hint="eastAsia" w:ascii="楷体_GB2312" w:hAnsi="宋体" w:eastAsia="楷体_GB2312" w:cs="宋体"/>
          <w:color w:val="000000"/>
          <w:kern w:val="0"/>
          <w:sz w:val="32"/>
          <w:szCs w:val="32"/>
          <w:shd w:val="clear" w:color="auto" w:fill="FFFFFF"/>
          <w:lang w:val="zh-CN" w:eastAsia="zh-CN" w:bidi="ar-SA"/>
        </w:rPr>
      </w:pPr>
      <w:r>
        <w:rPr>
          <w:rFonts w:hint="eastAsia" w:ascii="楷体_GB2312" w:hAnsi="宋体" w:eastAsia="楷体_GB2312" w:cs="宋体"/>
          <w:color w:val="000000"/>
          <w:kern w:val="0"/>
          <w:sz w:val="32"/>
          <w:szCs w:val="32"/>
          <w:shd w:val="clear" w:color="auto" w:fill="FFFFFF"/>
          <w:lang w:val="zh-CN" w:eastAsia="zh-CN" w:bidi="ar-SA"/>
        </w:rPr>
        <w:t>（一）评价结论</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zh-CN" w:eastAsia="zh-CN" w:bidi="ar-SA"/>
        </w:rPr>
        <w:t>自查评分为</w:t>
      </w:r>
      <w:r>
        <w:rPr>
          <w:rFonts w:hint="eastAsia" w:ascii="仿宋_GB2312" w:hAnsi="仿宋_GB2312" w:eastAsia="仿宋_GB2312" w:cs="仿宋_GB2312"/>
          <w:b w:val="0"/>
          <w:bCs w:val="0"/>
          <w:kern w:val="0"/>
          <w:sz w:val="32"/>
          <w:szCs w:val="32"/>
          <w:lang w:val="en-US" w:eastAsia="zh-CN" w:bidi="ar-SA"/>
        </w:rPr>
        <w:t>90分，</w:t>
      </w:r>
      <w:r>
        <w:rPr>
          <w:rFonts w:hint="eastAsia" w:ascii="仿宋_GB2312" w:hAnsi="仿宋_GB2312" w:eastAsia="仿宋_GB2312" w:cs="仿宋_GB2312"/>
          <w:b w:val="0"/>
          <w:bCs w:val="0"/>
          <w:kern w:val="0"/>
          <w:sz w:val="32"/>
          <w:szCs w:val="32"/>
          <w:lang w:val="zh-CN" w:eastAsia="zh-CN" w:bidi="ar-SA"/>
        </w:rPr>
        <w:t>项目实施进度理想，数字化清晰，分辨率高。</w:t>
      </w:r>
    </w:p>
    <w:p>
      <w:pPr>
        <w:keepNext w:val="0"/>
        <w:keepLines w:val="0"/>
        <w:pageBreakBefore w:val="0"/>
        <w:kinsoku/>
        <w:wordWrap/>
        <w:overflowPunct/>
        <w:topLinePunct w:val="0"/>
        <w:autoSpaceDE/>
        <w:autoSpaceDN/>
        <w:bidi w:val="0"/>
        <w:adjustRightInd w:val="0"/>
        <w:snapToGrid w:val="0"/>
        <w:spacing w:line="480" w:lineRule="exact"/>
        <w:ind w:firstLine="720"/>
        <w:textAlignment w:val="auto"/>
        <w:rPr>
          <w:rFonts w:hint="eastAsia" w:ascii="楷体_GB2312" w:hAnsi="宋体" w:eastAsia="楷体_GB2312" w:cs="宋体"/>
          <w:color w:val="000000"/>
          <w:kern w:val="0"/>
          <w:sz w:val="32"/>
          <w:szCs w:val="32"/>
          <w:shd w:val="clear" w:color="auto" w:fill="FFFFFF"/>
          <w:lang w:val="zh-CN" w:eastAsia="zh-CN" w:bidi="ar-SA"/>
        </w:rPr>
      </w:pPr>
      <w:r>
        <w:rPr>
          <w:rFonts w:hint="eastAsia" w:ascii="楷体_GB2312" w:hAnsi="宋体" w:eastAsia="楷体_GB2312" w:cs="宋体"/>
          <w:color w:val="000000"/>
          <w:kern w:val="0"/>
          <w:sz w:val="32"/>
          <w:szCs w:val="32"/>
          <w:shd w:val="clear" w:color="auto" w:fill="FFFFFF"/>
          <w:lang w:val="zh-CN" w:eastAsia="zh-CN" w:bidi="ar-SA"/>
        </w:rPr>
        <w:t>（二）存在的问题</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绩效目标设定还需进一步科学、规范，制度有待进一步完善，工作机制、工作手段有待进一步加强。</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楷体_GB2312" w:hAnsi="宋体" w:eastAsia="楷体_GB2312" w:cs="宋体"/>
          <w:color w:val="000000"/>
          <w:kern w:val="0"/>
          <w:sz w:val="32"/>
          <w:szCs w:val="32"/>
          <w:shd w:val="clear" w:color="auto" w:fill="FFFFFF"/>
          <w:lang w:val="zh-CN" w:eastAsia="zh-CN" w:bidi="ar-SA"/>
        </w:rPr>
      </w:pPr>
      <w:r>
        <w:rPr>
          <w:rFonts w:hint="eastAsia" w:ascii="楷体_GB2312" w:hAnsi="宋体" w:eastAsia="楷体_GB2312" w:cs="宋体"/>
          <w:color w:val="000000"/>
          <w:kern w:val="0"/>
          <w:sz w:val="32"/>
          <w:szCs w:val="32"/>
          <w:shd w:val="clear" w:color="auto" w:fill="FFFFFF"/>
          <w:lang w:val="zh-CN" w:eastAsia="zh-CN" w:bidi="ar-SA"/>
        </w:rPr>
        <w:t>（三）相关建议</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建议数字档案馆建设应从对馆藏利用频繁的全宗入手，加快馆藏档案的数字化率。</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　</w:t>
      </w: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p>
    <w:p>
      <w:pPr>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p>
    <w:p>
      <w:pPr>
        <w:pStyle w:val="3"/>
        <w:rPr>
          <w:rFonts w:hint="eastAsia" w:ascii="仿宋_GB2312" w:hAnsi="仿宋_GB2312" w:eastAsia="仿宋_GB2312" w:cs="仿宋_GB2312"/>
          <w:b w:val="0"/>
          <w:bCs w:val="0"/>
          <w:sz w:val="32"/>
          <w:szCs w:val="32"/>
        </w:rPr>
      </w:pPr>
    </w:p>
    <w:p>
      <w:pPr>
        <w:pStyle w:val="3"/>
        <w:rPr>
          <w:rFonts w:hint="eastAsia" w:ascii="仿宋_GB2312" w:hAnsi="仿宋_GB2312" w:eastAsia="仿宋_GB2312" w:cs="仿宋_GB2312"/>
          <w:b w:val="0"/>
          <w:bCs w:val="0"/>
          <w:sz w:val="32"/>
          <w:szCs w:val="32"/>
        </w:rPr>
      </w:pPr>
    </w:p>
    <w:p>
      <w:pPr>
        <w:pStyle w:val="3"/>
        <w:rPr>
          <w:rFonts w:hint="eastAsia" w:ascii="仿宋_GB2312" w:hAnsi="仿宋_GB2312" w:eastAsia="仿宋_GB2312" w:cs="仿宋_GB2312"/>
          <w:b w:val="0"/>
          <w:bCs w:val="0"/>
          <w:sz w:val="32"/>
          <w:szCs w:val="32"/>
        </w:rPr>
      </w:pPr>
    </w:p>
    <w:p>
      <w:pPr>
        <w:pStyle w:val="3"/>
        <w:rPr>
          <w:rFonts w:hint="eastAsia" w:ascii="仿宋_GB2312" w:hAnsi="仿宋_GB2312" w:eastAsia="仿宋_GB2312" w:cs="仿宋_GB2312"/>
          <w:b w:val="0"/>
          <w:bCs w:val="0"/>
          <w:sz w:val="32"/>
          <w:szCs w:val="32"/>
        </w:rPr>
      </w:pPr>
    </w:p>
    <w:p>
      <w:pPr>
        <w:pStyle w:val="3"/>
        <w:rPr>
          <w:rFonts w:hint="eastAsia" w:ascii="仿宋_GB2312" w:hAnsi="仿宋_GB2312" w:eastAsia="仿宋_GB2312" w:cs="仿宋_GB2312"/>
          <w:b w:val="0"/>
          <w:bCs w:val="0"/>
          <w:sz w:val="32"/>
          <w:szCs w:val="32"/>
        </w:rPr>
      </w:pPr>
    </w:p>
    <w:p>
      <w:pPr>
        <w:pStyle w:val="3"/>
        <w:rPr>
          <w:rFonts w:hint="eastAsia" w:ascii="仿宋_GB2312" w:hAnsi="仿宋_GB2312" w:eastAsia="仿宋_GB2312" w:cs="仿宋_GB2312"/>
          <w:b w:val="0"/>
          <w:bCs w:val="0"/>
          <w:sz w:val="32"/>
          <w:szCs w:val="32"/>
        </w:rPr>
      </w:pPr>
    </w:p>
    <w:p>
      <w:pPr>
        <w:pStyle w:val="3"/>
        <w:rPr>
          <w:rFonts w:hint="eastAsia" w:ascii="仿宋_GB2312" w:hAnsi="仿宋_GB2312" w:eastAsia="仿宋_GB2312" w:cs="仿宋_GB2312"/>
          <w:b w:val="0"/>
          <w:bCs w:val="0"/>
          <w:sz w:val="32"/>
          <w:szCs w:val="32"/>
        </w:rPr>
      </w:pPr>
    </w:p>
    <w:p>
      <w:pPr>
        <w:pStyle w:val="3"/>
        <w:rPr>
          <w:rFonts w:hint="eastAsia" w:ascii="仿宋_GB2312" w:hAnsi="仿宋_GB2312" w:eastAsia="仿宋_GB2312" w:cs="仿宋_GB2312"/>
          <w:b w:val="0"/>
          <w:bCs w:val="0"/>
          <w:sz w:val="32"/>
          <w:szCs w:val="32"/>
        </w:rPr>
      </w:pPr>
    </w:p>
    <w:p>
      <w:pPr>
        <w:pStyle w:val="3"/>
        <w:rPr>
          <w:rFonts w:hint="eastAsia" w:ascii="仿宋_GB2312" w:hAnsi="仿宋_GB2312" w:eastAsia="仿宋_GB2312" w:cs="仿宋_GB2312"/>
          <w:b w:val="0"/>
          <w:bCs w:val="0"/>
          <w:sz w:val="32"/>
          <w:szCs w:val="32"/>
        </w:rPr>
      </w:pPr>
    </w:p>
    <w:p>
      <w:pPr>
        <w:pStyle w:val="3"/>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59" w:name="_Toc15396618"/>
      <w:r>
        <w:rPr>
          <w:rFonts w:hint="eastAsia" w:ascii="仿宋_GB2312" w:hAnsi="仿宋_GB2312" w:eastAsia="仿宋_GB2312" w:cs="仿宋_GB2312"/>
          <w:b w:val="0"/>
          <w:bCs w:val="0"/>
          <w:sz w:val="32"/>
          <w:szCs w:val="32"/>
        </w:rPr>
        <w:t>第五部分 附表</w:t>
      </w:r>
      <w:bookmarkEnd w:id="57"/>
      <w:bookmarkEnd w:id="59"/>
      <w:bookmarkStart w:id="60" w:name="_Toc1539661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一、收入支出决算总表</w:t>
      </w:r>
      <w:bookmarkEnd w:id="6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61" w:name="_Toc15396620"/>
      <w:r>
        <w:rPr>
          <w:rFonts w:hint="eastAsia" w:ascii="仿宋_GB2312" w:hAnsi="仿宋_GB2312" w:eastAsia="仿宋_GB2312" w:cs="仿宋_GB2312"/>
          <w:b w:val="0"/>
          <w:bCs w:val="0"/>
          <w:sz w:val="32"/>
          <w:szCs w:val="32"/>
        </w:rPr>
        <w:t>二、收入决算表</w:t>
      </w:r>
      <w:bookmarkEnd w:id="6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62" w:name="_Toc15396621"/>
      <w:r>
        <w:rPr>
          <w:rFonts w:hint="eastAsia" w:ascii="仿宋_GB2312" w:hAnsi="仿宋_GB2312" w:eastAsia="仿宋_GB2312" w:cs="仿宋_GB2312"/>
          <w:b w:val="0"/>
          <w:bCs w:val="0"/>
          <w:sz w:val="32"/>
          <w:szCs w:val="32"/>
        </w:rPr>
        <w:t>三、支出决算表</w:t>
      </w:r>
      <w:bookmarkEnd w:id="6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63" w:name="_Toc15396622"/>
      <w:r>
        <w:rPr>
          <w:rFonts w:hint="eastAsia" w:ascii="仿宋_GB2312" w:hAnsi="仿宋_GB2312" w:eastAsia="仿宋_GB2312" w:cs="仿宋_GB2312"/>
          <w:b w:val="0"/>
          <w:bCs w:val="0"/>
          <w:sz w:val="32"/>
          <w:szCs w:val="32"/>
        </w:rPr>
        <w:t>四、财政拨款收入支出决算总表</w:t>
      </w:r>
      <w:bookmarkEnd w:id="6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64" w:name="_Toc15396623"/>
      <w:r>
        <w:rPr>
          <w:rFonts w:hint="eastAsia" w:ascii="仿宋_GB2312" w:hAnsi="仿宋_GB2312" w:eastAsia="仿宋_GB2312" w:cs="仿宋_GB2312"/>
          <w:b w:val="0"/>
          <w:bCs w:val="0"/>
          <w:sz w:val="32"/>
          <w:szCs w:val="32"/>
        </w:rPr>
        <w:t>五、财政拨款支出决算明细表</w:t>
      </w:r>
      <w:bookmarkEnd w:id="64"/>
      <w:bookmarkStart w:id="65" w:name="_Toc1539662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六、一般公共预算财政拨款支出决算表</w:t>
      </w:r>
      <w:bookmarkEnd w:id="6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66" w:name="_Toc15396625"/>
      <w:r>
        <w:rPr>
          <w:rFonts w:hint="eastAsia" w:ascii="仿宋_GB2312" w:hAnsi="仿宋_GB2312" w:eastAsia="仿宋_GB2312" w:cs="仿宋_GB2312"/>
          <w:b w:val="0"/>
          <w:bCs w:val="0"/>
          <w:sz w:val="32"/>
          <w:szCs w:val="32"/>
        </w:rPr>
        <w:t>七、一般公共预算财政拨款支出决算明细表</w:t>
      </w:r>
      <w:bookmarkEnd w:id="6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67" w:name="_Toc15396626"/>
      <w:r>
        <w:rPr>
          <w:rFonts w:hint="eastAsia" w:ascii="仿宋_GB2312" w:hAnsi="仿宋_GB2312" w:eastAsia="仿宋_GB2312" w:cs="仿宋_GB2312"/>
          <w:b w:val="0"/>
          <w:bCs w:val="0"/>
          <w:sz w:val="32"/>
          <w:szCs w:val="32"/>
        </w:rPr>
        <w:t>八、一般公共预算财政拨款基本支出决算表</w:t>
      </w:r>
      <w:bookmarkEnd w:id="6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68" w:name="_Toc15396627"/>
      <w:r>
        <w:rPr>
          <w:rFonts w:hint="eastAsia" w:ascii="仿宋_GB2312" w:hAnsi="仿宋_GB2312" w:eastAsia="仿宋_GB2312" w:cs="仿宋_GB2312"/>
          <w:b w:val="0"/>
          <w:bCs w:val="0"/>
          <w:sz w:val="32"/>
          <w:szCs w:val="32"/>
        </w:rPr>
        <w:t>九、一般公共预算财政拨款项目支出决算表</w:t>
      </w:r>
      <w:bookmarkEnd w:id="6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69" w:name="_Toc15396628"/>
      <w:r>
        <w:rPr>
          <w:rFonts w:hint="eastAsia" w:ascii="仿宋_GB2312" w:hAnsi="仿宋_GB2312" w:eastAsia="仿宋_GB2312" w:cs="仿宋_GB2312"/>
          <w:b w:val="0"/>
          <w:bCs w:val="0"/>
          <w:sz w:val="32"/>
          <w:szCs w:val="32"/>
        </w:rPr>
        <w:t>十、一般公共预算财政拨款“三公”经费支出决算表</w:t>
      </w:r>
      <w:bookmarkEnd w:id="6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70" w:name="_Toc15396629"/>
      <w:r>
        <w:rPr>
          <w:rFonts w:hint="eastAsia" w:ascii="仿宋_GB2312" w:hAnsi="仿宋_GB2312" w:eastAsia="仿宋_GB2312" w:cs="仿宋_GB2312"/>
          <w:b w:val="0"/>
          <w:bCs w:val="0"/>
          <w:sz w:val="32"/>
          <w:szCs w:val="32"/>
        </w:rPr>
        <w:t>十一、政府性基金预算财政拨款收入支出决算表</w:t>
      </w:r>
      <w:bookmarkEnd w:id="7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71" w:name="_Toc15396630"/>
      <w:r>
        <w:rPr>
          <w:rFonts w:hint="eastAsia" w:ascii="仿宋_GB2312" w:hAnsi="仿宋_GB2312" w:eastAsia="仿宋_GB2312" w:cs="仿宋_GB2312"/>
          <w:b w:val="0"/>
          <w:bCs w:val="0"/>
          <w:sz w:val="32"/>
          <w:szCs w:val="32"/>
        </w:rPr>
        <w:t>十二、政府性基金预算财政拨款“三公”经费支出决算表</w:t>
      </w:r>
      <w:bookmarkEnd w:id="7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72" w:name="_Toc15396631"/>
      <w:r>
        <w:rPr>
          <w:rFonts w:hint="eastAsia" w:ascii="仿宋_GB2312" w:hAnsi="仿宋_GB2312" w:eastAsia="仿宋_GB2312" w:cs="仿宋_GB2312"/>
          <w:b w:val="0"/>
          <w:bCs w:val="0"/>
          <w:sz w:val="32"/>
          <w:szCs w:val="32"/>
        </w:rPr>
        <w:t>十三、国有资本经营预算财政拨款收入支出决算表</w:t>
      </w:r>
      <w:bookmarkEnd w:id="7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等线">
    <w:altName w:val="宋体"/>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545916"/>
    </w:sdtPr>
    <w:sdtContent>
      <w:p>
        <w:pPr>
          <w:pStyle w:val="11"/>
          <w:jc w:val="center"/>
        </w:pPr>
        <w:r>
          <w:fldChar w:fldCharType="begin"/>
        </w:r>
        <w:r>
          <w:instrText xml:space="preserve">PAGE   \* MERGEFORMAT</w:instrText>
        </w:r>
        <w:r>
          <w:fldChar w:fldCharType="separate"/>
        </w:r>
        <w:r>
          <w:rPr>
            <w:lang w:val="zh-CN"/>
          </w:rPr>
          <w:t>8</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2">
    <w:nsid w:val="01F4C0D3"/>
    <w:multiLevelType w:val="singleLevel"/>
    <w:tmpl w:val="01F4C0D3"/>
    <w:lvl w:ilvl="0" w:tentative="0">
      <w:start w:val="2"/>
      <w:numFmt w:val="chineseCounting"/>
      <w:suff w:val="nothing"/>
      <w:lvlText w:val="%1、"/>
      <w:lvlJc w:val="left"/>
      <w:rPr>
        <w:rFonts w:hint="eastAsia"/>
      </w:rPr>
    </w:lvl>
  </w:abstractNum>
  <w:abstractNum w:abstractNumId="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4">
    <w:nsid w:val="5412599E"/>
    <w:multiLevelType w:val="singleLevel"/>
    <w:tmpl w:val="5412599E"/>
    <w:lvl w:ilvl="0" w:tentative="0">
      <w:start w:val="2"/>
      <w:numFmt w:val="decimal"/>
      <w:suff w:val="nothing"/>
      <w:lvlText w:val="%1．"/>
      <w:lvlJc w:val="left"/>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dit="readOnly"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ZTIzNTM4YTU2YjRhMzZhY2RlYmViNzAxZGE1M2U4YjAifQ=="/>
  </w:docVars>
  <w:rsids>
    <w:rsidRoot w:val="005A6850"/>
    <w:rsid w:val="003369FF"/>
    <w:rsid w:val="005A6850"/>
    <w:rsid w:val="007E0B38"/>
    <w:rsid w:val="00B44167"/>
    <w:rsid w:val="00D12052"/>
    <w:rsid w:val="00D90040"/>
    <w:rsid w:val="00DD0E6F"/>
    <w:rsid w:val="083245C7"/>
    <w:rsid w:val="08D00067"/>
    <w:rsid w:val="0C7156BE"/>
    <w:rsid w:val="0D2B2BFB"/>
    <w:rsid w:val="29A81370"/>
    <w:rsid w:val="2FCD2C97"/>
    <w:rsid w:val="316D3DF6"/>
    <w:rsid w:val="36982FEE"/>
    <w:rsid w:val="3C0E65B2"/>
    <w:rsid w:val="412169AB"/>
    <w:rsid w:val="48873598"/>
    <w:rsid w:val="4CB22BAD"/>
    <w:rsid w:val="52A51719"/>
    <w:rsid w:val="53105A5D"/>
    <w:rsid w:val="54C22EA9"/>
    <w:rsid w:val="5FBF2BD8"/>
    <w:rsid w:val="796C3F60"/>
    <w:rsid w:val="7AA634A2"/>
    <w:rsid w:val="7ADE2C3C"/>
    <w:rsid w:val="7AF366E7"/>
    <w:rsid w:val="7B580C40"/>
    <w:rsid w:val="B1689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4"/>
    <w:unhideWhenUsed/>
    <w:qFormat/>
    <w:uiPriority w:val="9"/>
    <w:pPr>
      <w:keepNext/>
      <w:keepLines/>
      <w:spacing w:before="260" w:after="260" w:line="415" w:lineRule="auto"/>
      <w:outlineLvl w:val="1"/>
    </w:pPr>
    <w:rPr>
      <w:rFonts w:ascii="Cambria" w:hAnsi="Cambria"/>
      <w:b/>
      <w:bCs/>
      <w:sz w:val="32"/>
      <w:szCs w:val="32"/>
    </w:rPr>
  </w:style>
  <w:style w:type="paragraph" w:styleId="6">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3">
    <w:name w:val="正文（绿盟科技）"/>
    <w:qFormat/>
    <w:uiPriority w:val="0"/>
    <w:pPr>
      <w:spacing w:line="300" w:lineRule="auto"/>
    </w:pPr>
    <w:rPr>
      <w:rFonts w:ascii="Arial" w:hAnsi="Arial" w:eastAsia="宋体" w:cs="Times New Roman"/>
      <w:sz w:val="21"/>
      <w:szCs w:val="21"/>
      <w:lang w:val="en-US" w:eastAsia="zh-CN" w:bidi="ar-SA"/>
    </w:rPr>
  </w:style>
  <w:style w:type="paragraph" w:styleId="7">
    <w:name w:val="Body Text"/>
    <w:basedOn w:val="1"/>
    <w:next w:val="8"/>
    <w:qFormat/>
    <w:uiPriority w:val="0"/>
    <w:pPr>
      <w:spacing w:before="30" w:beforeLines="30"/>
    </w:pPr>
    <w:rPr>
      <w:rFonts w:ascii="仿宋_GB2312" w:eastAsia="仿宋_GB2312"/>
      <w:kern w:val="0"/>
      <w:sz w:val="30"/>
    </w:rPr>
  </w:style>
  <w:style w:type="paragraph" w:styleId="8">
    <w:name w:val="Body Text First Indent"/>
    <w:basedOn w:val="7"/>
    <w:qFormat/>
    <w:uiPriority w:val="0"/>
    <w:pPr>
      <w:ind w:firstLine="420" w:firstLineChars="100"/>
    </w:pPr>
    <w:rPr>
      <w:rFonts w:ascii="Times New Roman" w:hAnsi="Times New Roman" w:eastAsia="宋体" w:cs="Times New Roman"/>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able of figures"/>
    <w:basedOn w:val="1"/>
    <w:next w:val="1"/>
    <w:unhideWhenUsed/>
    <w:qFormat/>
    <w:uiPriority w:val="99"/>
    <w:pPr>
      <w:spacing w:before="100" w:beforeAutospacing="1" w:after="100" w:afterAutospacing="1"/>
      <w:ind w:left="200" w:leftChars="200" w:hanging="200" w:hangingChars="200"/>
    </w:pPr>
    <w:rPr>
      <w:kern w:val="0"/>
      <w:sz w:val="20"/>
      <w:szCs w:val="20"/>
    </w:rPr>
  </w:style>
  <w:style w:type="paragraph" w:styleId="15">
    <w:name w:val="toc 2"/>
    <w:basedOn w:val="1"/>
    <w:next w:val="1"/>
    <w:qFormat/>
    <w:uiPriority w:val="0"/>
    <w:pPr>
      <w:tabs>
        <w:tab w:val="right" w:leader="dot" w:pos="8296"/>
      </w:tabs>
      <w:ind w:left="200" w:leftChars="200"/>
    </w:pPr>
  </w:style>
  <w:style w:type="paragraph" w:styleId="16">
    <w:name w:val="Normal (Web)"/>
    <w:basedOn w:val="1"/>
    <w:next w:val="17"/>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17">
    <w:name w:val="四号正文"/>
    <w:basedOn w:val="1"/>
    <w:qFormat/>
    <w:uiPriority w:val="0"/>
    <w:pPr>
      <w:spacing w:line="360" w:lineRule="auto"/>
    </w:pPr>
    <w:rPr>
      <w:rFonts w:ascii="??" w:hAnsi="??" w:eastAsia="宋体"/>
      <w:color w:val="000000"/>
      <w:kern w:val="0"/>
      <w:sz w:val="28"/>
      <w:szCs w:val="21"/>
      <w:lang w:val="zh-CN" w:eastAsia="zh-CN"/>
    </w:rPr>
  </w:style>
  <w:style w:type="character" w:styleId="20">
    <w:name w:val="Strong"/>
    <w:basedOn w:val="19"/>
    <w:qFormat/>
    <w:uiPriority w:val="0"/>
    <w:rPr>
      <w:b/>
    </w:rPr>
  </w:style>
  <w:style w:type="character" w:styleId="21">
    <w:name w:val="FollowedHyperlink"/>
    <w:basedOn w:val="19"/>
    <w:semiHidden/>
    <w:unhideWhenUsed/>
    <w:qFormat/>
    <w:uiPriority w:val="99"/>
    <w:rPr>
      <w:color w:val="333333"/>
      <w:u w:val="none"/>
    </w:rPr>
  </w:style>
  <w:style w:type="character" w:styleId="22">
    <w:name w:val="Hyperlink"/>
    <w:basedOn w:val="19"/>
    <w:qFormat/>
    <w:uiPriority w:val="0"/>
    <w:rPr>
      <w:color w:val="0000FF"/>
      <w:u w:val="single"/>
    </w:rPr>
  </w:style>
  <w:style w:type="character" w:customStyle="1" w:styleId="23">
    <w:name w:val="标题 1 字符"/>
    <w:basedOn w:val="19"/>
    <w:link w:val="4"/>
    <w:qFormat/>
    <w:uiPriority w:val="0"/>
    <w:rPr>
      <w:rFonts w:ascii="Times New Roman" w:hAnsi="Times New Roman" w:eastAsia="宋体" w:cs="Times New Roman"/>
      <w:b/>
      <w:bCs/>
      <w:kern w:val="44"/>
      <w:sz w:val="44"/>
      <w:szCs w:val="44"/>
      <w:lang w:val="en-US" w:eastAsia="zh-CN" w:bidi="ar-SA"/>
    </w:rPr>
  </w:style>
  <w:style w:type="character" w:customStyle="1" w:styleId="24">
    <w:name w:val="标题 2 字符"/>
    <w:basedOn w:val="19"/>
    <w:link w:val="5"/>
    <w:qFormat/>
    <w:uiPriority w:val="0"/>
    <w:rPr>
      <w:rFonts w:ascii="Cambria" w:hAnsi="Cambria" w:eastAsia="宋体" w:cs="Times New Roman"/>
      <w:b/>
      <w:bCs/>
      <w:kern w:val="2"/>
      <w:sz w:val="32"/>
      <w:szCs w:val="32"/>
      <w:lang w:val="en-US" w:eastAsia="zh-CN" w:bidi="ar-SA"/>
    </w:rPr>
  </w:style>
  <w:style w:type="character" w:customStyle="1" w:styleId="25">
    <w:name w:val="Header Char"/>
    <w:basedOn w:val="19"/>
    <w:qFormat/>
    <w:uiPriority w:val="0"/>
    <w:rPr>
      <w:rFonts w:ascii="Times New Roman" w:hAnsi="Times New Roman"/>
      <w:sz w:val="18"/>
      <w:szCs w:val="18"/>
    </w:rPr>
  </w:style>
  <w:style w:type="character" w:customStyle="1" w:styleId="26">
    <w:name w:val="Footer Char"/>
    <w:basedOn w:val="19"/>
    <w:qFormat/>
    <w:uiPriority w:val="0"/>
    <w:rPr>
      <w:rFonts w:ascii="Times New Roman" w:hAnsi="Times New Roman"/>
      <w:sz w:val="18"/>
      <w:szCs w:val="18"/>
    </w:rPr>
  </w:style>
  <w:style w:type="character" w:customStyle="1" w:styleId="27">
    <w:name w:val="Body Text Char"/>
    <w:basedOn w:val="19"/>
    <w:qFormat/>
    <w:uiPriority w:val="0"/>
    <w:rPr>
      <w:rFonts w:ascii="Times New Roman" w:hAnsi="Times New Roman"/>
      <w:szCs w:val="24"/>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9">
    <w:name w:val="List Paragraph"/>
    <w:basedOn w:val="1"/>
    <w:qFormat/>
    <w:uiPriority w:val="0"/>
    <w:pPr>
      <w:ind w:firstLine="200" w:firstLineChars="200"/>
    </w:pPr>
  </w:style>
  <w:style w:type="paragraph" w:customStyle="1" w:styleId="30">
    <w:name w:val="TOC 标题1"/>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1">
    <w:name w:val="TOC 标题2"/>
    <w:basedOn w:val="4"/>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收、支决算总结变动情况</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2020年</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收入</c:v>
                </c:pt>
                <c:pt idx="1">
                  <c:v>支出</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692.18</c:v>
                </c:pt>
                <c:pt idx="1">
                  <c:v>1304.71</c:v>
                </c:pt>
              </c:numCache>
            </c:numRef>
          </c:val>
        </c:ser>
        <c:ser>
          <c:idx val="1"/>
          <c:order val="1"/>
          <c:tx>
            <c:strRef>
              <c:f>Sheet1!$C$1</c:f>
              <c:strCache>
                <c:ptCount val="1"/>
                <c:pt idx="0">
                  <c:v>2021年</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收入</c:v>
                </c:pt>
                <c:pt idx="1">
                  <c:v>支出</c:v>
                </c:pt>
              </c:strCache>
            </c:strRef>
          </c:cat>
          <c:val>
            <c:numRef>
              <c:extLst>
                <c:ext xmlns:c15="http://schemas.microsoft.com/office/drawing/2012/chart" uri="{02D57815-91ED-43cb-92C2-25804820EDAC}">
                  <c15:fullRef>
                    <c15:sqref>Sheet1!$C$2:$C$5</c15:sqref>
                  </c15:fullRef>
                </c:ext>
              </c:extLst>
              <c:f>Sheet1!$C$2:$C$3</c:f>
              <c:numCache>
                <c:formatCode>General</c:formatCode>
                <c:ptCount val="2"/>
                <c:pt idx="0">
                  <c:v>900.78</c:v>
                </c:pt>
                <c:pt idx="1">
                  <c:v>1010.01</c:v>
                </c:pt>
              </c:numCache>
            </c:numRef>
          </c:val>
        </c:ser>
        <c:dLbls>
          <c:showLegendKey val="false"/>
          <c:showVal val="true"/>
          <c:showCatName val="false"/>
          <c:showSerName val="false"/>
          <c:showPercent val="false"/>
          <c:showBubbleSize val="false"/>
        </c:dLbls>
        <c:gapWidth val="219"/>
        <c:overlap val="-27"/>
        <c:axId val="741272577"/>
        <c:axId val="410352159"/>
      </c:barChart>
      <c:catAx>
        <c:axId val="741272577"/>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10352159"/>
        <c:crosses val="autoZero"/>
        <c:auto val="true"/>
        <c:lblAlgn val="ctr"/>
        <c:lblOffset val="100"/>
        <c:noMultiLvlLbl val="false"/>
      </c:catAx>
      <c:valAx>
        <c:axId val="410352159"/>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41272577"/>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txPr>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p>
      </c:txPr>
    </c:title>
    <c:autoTitleDeleted val="false"/>
    <c:plotArea>
      <c:layout/>
      <c:pieChart>
        <c:varyColors val="true"/>
        <c:ser>
          <c:idx val="0"/>
          <c:order val="0"/>
          <c:tx>
            <c:strRef>
              <c:f>Sheet1!$B$1</c:f>
              <c:strCache>
                <c:ptCount val="1"/>
                <c:pt idx="0">
                  <c:v>2021年财政拨款收入</c:v>
                </c:pt>
              </c:strCache>
            </c:strRef>
          </c:tx>
          <c:explosion val="0"/>
          <c:dPt>
            <c:idx val="0"/>
            <c:bubble3D val="false"/>
          </c:dPt>
          <c:dPt>
            <c:idx val="1"/>
            <c:bubble3D val="false"/>
          </c:dPt>
          <c:dPt>
            <c:idx val="2"/>
            <c:bubble3D val="false"/>
          </c:dPt>
          <c:dPt>
            <c:idx val="3"/>
            <c:bubble3D val="false"/>
          </c:dPt>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Sheet1!$A$2:$A$5</c:f>
              <c:strCache>
                <c:ptCount val="2"/>
                <c:pt idx="0">
                  <c:v>一般公共预算收入</c:v>
                </c:pt>
                <c:pt idx="1">
                  <c:v>其他收入</c:v>
                </c:pt>
              </c:strCache>
            </c:strRef>
          </c:cat>
          <c:val>
            <c:numRef>
              <c:f>Sheet1!$B$2:$B$5</c:f>
              <c:numCache>
                <c:formatCode>General</c:formatCode>
                <c:ptCount val="4"/>
                <c:pt idx="0">
                  <c:v>99.39</c:v>
                </c:pt>
                <c:pt idx="1">
                  <c:v>0.61</c:v>
                </c:pt>
              </c:numCache>
            </c:numRef>
          </c:val>
        </c:ser>
        <c:dLbls>
          <c:showLegendKey val="false"/>
          <c:showVal val="tru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26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2021年支出合计</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105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基本支出</c:v>
                </c:pt>
                <c:pt idx="1">
                  <c:v>项目支出</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751.73</c:v>
                </c:pt>
                <c:pt idx="1">
                  <c:v>258.28</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egendEntry>
        <c:idx val="0"/>
        <c:txPr>
          <a:bodyPr rot="0" spcFirstLastPara="0" vertOverflow="ellipsis" vert="horz" wrap="square" anchor="ctr" anchorCtr="true"/>
          <a:lstStyle/>
          <a:p>
            <a:pPr>
              <a:defRPr lang="zh-CN" sz="105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true"/>
          <a:lstStyle/>
          <a:p>
            <a:pPr>
              <a:defRPr lang="zh-CN" sz="1050" b="0" i="0" u="none" strike="noStrike" kern="1200" baseline="0">
                <a:solidFill>
                  <a:schemeClr val="tx1">
                    <a:lumMod val="65000"/>
                    <a:lumOff val="35000"/>
                  </a:schemeClr>
                </a:solidFill>
                <a:latin typeface="+mn-lt"/>
                <a:ea typeface="+mn-ea"/>
                <a:cs typeface="+mn-cs"/>
              </a:defRPr>
            </a:pPr>
          </a:p>
        </c:txPr>
      </c:legendEntry>
      <c:layout/>
      <c:overlay val="false"/>
      <c:spPr>
        <a:noFill/>
        <a:ln>
          <a:noFill/>
        </a:ln>
        <a:effectLst/>
      </c:spPr>
      <c:txPr>
        <a:bodyPr rot="0" spcFirstLastPara="0" vertOverflow="ellipsis" vert="horz" wrap="square" anchor="ctr" anchorCtr="true"/>
        <a:lstStyle/>
        <a:p>
          <a:pPr>
            <a:defRPr lang="zh-CN" sz="105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sz="1050"/>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barChart>
        <c:barDir val="col"/>
        <c:grouping val="clustered"/>
        <c:varyColors val="false"/>
        <c:ser>
          <c:idx val="0"/>
          <c:order val="0"/>
          <c:tx>
            <c:strRef>
              <c:f>Sheet1!$B$1</c:f>
              <c:strCache>
                <c:ptCount val="1"/>
                <c:pt idx="0">
                  <c:v>2020年</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财政拨款收入</c:v>
                </c:pt>
                <c:pt idx="1">
                  <c:v>财政拨款支出</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887.7</c:v>
                </c:pt>
                <c:pt idx="1">
                  <c:v>887.7</c:v>
                </c:pt>
              </c:numCache>
            </c:numRef>
          </c:val>
        </c:ser>
        <c:ser>
          <c:idx val="1"/>
          <c:order val="1"/>
          <c:tx>
            <c:strRef>
              <c:f>Sheet1!$C$1</c:f>
              <c:strCache>
                <c:ptCount val="1"/>
                <c:pt idx="0">
                  <c:v>2021年</c:v>
                </c:pt>
              </c:strCache>
            </c:strRef>
          </c:tx>
          <c:spPr>
            <a:solidFill>
              <a:schemeClr val="accent2"/>
            </a:solidFill>
            <a:ln>
              <a:noFill/>
            </a:ln>
            <a:effectLst/>
          </c:spPr>
          <c:invertIfNegative val="false"/>
          <c:dLbls>
            <c:dLbl>
              <c:idx val="0"/>
              <c:layout/>
              <c:dLblPos val="outEnd"/>
              <c:showLegendKey val="false"/>
              <c:showVal val="true"/>
              <c:showCatName val="false"/>
              <c:showSerName val="false"/>
              <c:showPercent val="false"/>
              <c:showBubbleSize val="false"/>
              <c:extLst>
                <c:ext xmlns:c15="http://schemas.microsoft.com/office/drawing/2012/chart" uri="{CE6537A1-D6FC-4f65-9D91-7224C49458BB}"/>
              </c:extLst>
            </c:dLbl>
            <c:dLbl>
              <c:idx val="1"/>
              <c:layout/>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财政拨款收入</c:v>
                </c:pt>
                <c:pt idx="1">
                  <c:v>财政拨款支出</c:v>
                </c:pt>
              </c:strCache>
            </c:strRef>
          </c:cat>
          <c:val>
            <c:numRef>
              <c:extLst>
                <c:ext xmlns:c15="http://schemas.microsoft.com/office/drawing/2012/chart" uri="{02D57815-91ED-43cb-92C2-25804820EDAC}">
                  <c15:fullRef>
                    <c15:sqref>Sheet1!$C$2:$C$5</c15:sqref>
                  </c15:fullRef>
                </c:ext>
              </c:extLst>
              <c:f>Sheet1!$C$2:$C$3</c:f>
              <c:numCache>
                <c:formatCode>General</c:formatCode>
                <c:ptCount val="2"/>
                <c:pt idx="0">
                  <c:v>914.85</c:v>
                </c:pt>
                <c:pt idx="1">
                  <c:v>914.85</c:v>
                </c:pt>
              </c:numCache>
            </c:numRef>
          </c:val>
        </c:ser>
        <c:dLbls>
          <c:showLegendKey val="false"/>
          <c:showVal val="false"/>
          <c:showCatName val="false"/>
          <c:showSerName val="false"/>
          <c:showPercent val="false"/>
          <c:showBubbleSize val="false"/>
        </c:dLbls>
        <c:gapWidth val="219"/>
        <c:overlap val="-27"/>
        <c:axId val="988142569"/>
        <c:axId val="447566836"/>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系列 3</c:v>
                      </c:pt>
                    </c:strCache>
                  </c:strRef>
                </c:tx>
                <c:spPr>
                  <a:solidFill>
                    <a:schemeClr val="accent3"/>
                  </a:solidFill>
                  <a:ln>
                    <a:noFill/>
                  </a:ln>
                  <a:effectLst/>
                </c:spPr>
                <c:invertIfNegative val="false"/>
                <c:dLbls>
                  <c:delete val="true"/>
                </c:dLbls>
                <c:cat>
                  <c:strRef>
                    <c:extLst>
                      <c:ext uri="{02D57815-91ED-43cb-92C2-25804820EDAC}">
                        <c15:fullRef>
                          <c15:sqref>Sheet1!$A$2:$A$5</c15:sqref>
                        </c15:fullRef>
                        <c15:formulaRef>
                          <c15:sqref>Sheet1!$A$2:$A$3</c15:sqref>
                        </c15:formulaRef>
                      </c:ext>
                    </c:extLst>
                    <c:strCache>
                      <c:ptCount val="2"/>
                      <c:pt idx="0">
                        <c:v>财政拨款收入</c:v>
                      </c:pt>
                      <c:pt idx="1">
                        <c:v>财政拨款支出</c:v>
                      </c:pt>
                    </c:strCache>
                  </c:strRef>
                </c:cat>
                <c:val>
                  <c:numRef>
                    <c:extLst>
                      <c:ext uri="{02D57815-91ED-43cb-92C2-25804820EDAC}">
                        <c15:fullRef>
                          <c15:sqref>Sheet1!$D$2:$D$5</c15:sqref>
                        </c15:fullRef>
                        <c15:formulaRef>
                          <c15:sqref>Sheet1!$D$2:$D$3</c15:sqref>
                        </c15:formulaRef>
                      </c:ext>
                    </c:extLst>
                    <c:numCache>
                      <c:formatCode>General</c:formatCode>
                      <c:ptCount val="2"/>
                      <c:pt idx="0">
                        <c:v>2</c:v>
                      </c:pt>
                      <c:pt idx="1">
                        <c:v>2</c:v>
                      </c:pt>
                    </c:numCache>
                  </c:numRef>
                </c:val>
              </c15:ser>
            </c15:filteredBarSeries>
          </c:ext>
        </c:extLst>
      </c:barChart>
      <c:catAx>
        <c:axId val="988142569"/>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47566836"/>
        <c:crosses val="autoZero"/>
        <c:auto val="true"/>
        <c:lblAlgn val="ctr"/>
        <c:lblOffset val="100"/>
        <c:noMultiLvlLbl val="false"/>
      </c:catAx>
      <c:valAx>
        <c:axId val="447566836"/>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88142569"/>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Sheet1!$B$1</c:f>
              <c:strCache>
                <c:ptCount val="1"/>
                <c:pt idx="0">
                  <c:v>2020年</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c:f>
              <c:strCache>
                <c:ptCount val="1"/>
                <c:pt idx="0">
                  <c:v>一般公共预算财政拨款支出决算</c:v>
                </c:pt>
              </c:strCache>
            </c:strRef>
          </c:cat>
          <c:val>
            <c:numRef>
              <c:extLst>
                <c:ext xmlns:c15="http://schemas.microsoft.com/office/drawing/2012/chart" uri="{02D57815-91ED-43cb-92C2-25804820EDAC}">
                  <c15:fullRef>
                    <c15:sqref>Sheet1!$B$2:$B$5</c15:sqref>
                  </c15:fullRef>
                </c:ext>
              </c:extLst>
              <c:f>Sheet1!$B$2</c:f>
              <c:numCache>
                <c:formatCode>General</c:formatCode>
                <c:ptCount val="1"/>
                <c:pt idx="0">
                  <c:v>887.7</c:v>
                </c:pt>
              </c:numCache>
            </c:numRef>
          </c:val>
        </c:ser>
        <c:ser>
          <c:idx val="1"/>
          <c:order val="1"/>
          <c:tx>
            <c:strRef>
              <c:f>Sheet1!$C$1</c:f>
              <c:strCache>
                <c:ptCount val="1"/>
                <c:pt idx="0">
                  <c:v>2021年</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c:f>
              <c:strCache>
                <c:ptCount val="1"/>
                <c:pt idx="0">
                  <c:v>一般公共预算财政拨款支出决算</c:v>
                </c:pt>
              </c:strCache>
            </c:strRef>
          </c:cat>
          <c:val>
            <c:numRef>
              <c:extLst>
                <c:ext xmlns:c15="http://schemas.microsoft.com/office/drawing/2012/chart" uri="{02D57815-91ED-43cb-92C2-25804820EDAC}">
                  <c15:fullRef>
                    <c15:sqref>Sheet1!$C$2:$C$5</c15:sqref>
                  </c15:fullRef>
                </c:ext>
              </c:extLst>
              <c:f>Sheet1!$C$2</c:f>
              <c:numCache>
                <c:formatCode>General</c:formatCode>
                <c:ptCount val="1"/>
                <c:pt idx="0">
                  <c:v>914.85</c:v>
                </c:pt>
              </c:numCache>
            </c:numRef>
          </c:val>
        </c:ser>
        <c:dLbls>
          <c:showLegendKey val="false"/>
          <c:showVal val="false"/>
          <c:showCatName val="false"/>
          <c:showSerName val="false"/>
          <c:showPercent val="false"/>
          <c:showBubbleSize val="false"/>
        </c:dLbls>
        <c:gapWidth val="219"/>
        <c:overlap val="-27"/>
        <c:axId val="281356837"/>
        <c:axId val="462985063"/>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系列 3</c:v>
                      </c:pt>
                    </c:strCache>
                  </c:strRef>
                </c:tx>
                <c:spPr>
                  <a:solidFill>
                    <a:schemeClr val="accent3"/>
                  </a:solidFill>
                  <a:ln>
                    <a:noFill/>
                  </a:ln>
                  <a:effectLst/>
                </c:spPr>
                <c:invertIfNegative val="false"/>
                <c:dLbls>
                  <c:delete val="true"/>
                </c:dLbls>
                <c:cat>
                  <c:strRef>
                    <c:extLst>
                      <c:ext uri="{02D57815-91ED-43cb-92C2-25804820EDAC}">
                        <c15:fullRef>
                          <c15:sqref>Sheet1!$A$2:$A$5</c15:sqref>
                        </c15:fullRef>
                        <c15:formulaRef>
                          <c15:sqref>Sheet1!$A$2</c15:sqref>
                        </c15:formulaRef>
                      </c:ext>
                    </c:extLst>
                    <c:strCache>
                      <c:ptCount val="1"/>
                      <c:pt idx="0">
                        <c:v>一般公共预算财政拨款支出决算</c:v>
                      </c:pt>
                    </c:strCache>
                  </c:strRef>
                </c:cat>
                <c:val>
                  <c:numRef>
                    <c:extLst>
                      <c:ext uri="{02D57815-91ED-43cb-92C2-25804820EDAC}">
                        <c15:fullRef>
                          <c15:sqref>Sheet1!$D$2:$D$5</c15:sqref>
                        </c15:fullRef>
                        <c15:formulaRef>
                          <c15:sqref>Sheet1!$D$2</c15:sqref>
                        </c15:formulaRef>
                      </c:ext>
                    </c:extLst>
                    <c:numCache>
                      <c:formatCode>General</c:formatCode>
                      <c:ptCount val="1"/>
                    </c:numCache>
                  </c:numRef>
                </c:val>
              </c15:ser>
            </c15:filteredBarSeries>
          </c:ext>
        </c:extLst>
      </c:barChart>
      <c:catAx>
        <c:axId val="281356837"/>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62985063"/>
        <c:crosses val="autoZero"/>
        <c:auto val="true"/>
        <c:lblAlgn val="ctr"/>
        <c:lblOffset val="100"/>
        <c:noMultiLvlLbl val="false"/>
      </c:catAx>
      <c:valAx>
        <c:axId val="462985063"/>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81356837"/>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一般公共预算财政拨款支出决算</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778.18</c:v>
                </c:pt>
                <c:pt idx="1">
                  <c:v>64.86</c:v>
                </c:pt>
                <c:pt idx="2">
                  <c:v>29.92</c:v>
                </c:pt>
                <c:pt idx="3">
                  <c:v>41.89</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三公经费财政拨款支出决算</c:v>
                </c:pt>
              </c:strCache>
            </c:strRef>
          </c:tx>
          <c:spPr/>
          <c:explosion val="0"/>
          <c:dPt>
            <c:idx val="0"/>
            <c:bubble3D val="false"/>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Sheet1!$A$3:$A$6</c15:sqref>
                  </c15:fullRef>
                </c:ext>
              </c:extLst>
              <c:f>Sheet1!$A$3</c:f>
              <c:strCache>
                <c:ptCount val="1"/>
                <c:pt idx="0">
                  <c:v>公务用车购置及运行维护费</c:v>
                </c:pt>
              </c:strCache>
            </c:strRef>
          </c:cat>
          <c:val>
            <c:numRef>
              <c:extLst>
                <c:ext xmlns:c15="http://schemas.microsoft.com/office/drawing/2012/chart" uri="{02D57815-91ED-43cb-92C2-25804820EDAC}">
                  <c15:fullRef>
                    <c15:sqref>Sheet1!$B$3:$B$6</c15:sqref>
                  </c15:fullRef>
                </c:ext>
              </c:extLst>
              <c:f>Sheet1!$B$3</c:f>
              <c:numCache>
                <c:formatCode>General</c:formatCode>
                <c:ptCount val="1"/>
                <c:pt idx="0">
                  <c:v>70.44</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53</Pages>
  <Words>20214</Words>
  <Characters>21472</Characters>
  <Lines>57</Lines>
  <Paragraphs>16</Paragraphs>
  <TotalTime>7</TotalTime>
  <ScaleCrop>false</ScaleCrop>
  <LinksUpToDate>false</LinksUpToDate>
  <CharactersWithSpaces>21547</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2020-08-05T09:49:00Z</dcterms:created>
  <dc:creator>曹颖</dc:creator>
  <cp:lastModifiedBy>user</cp:lastModifiedBy>
  <cp:lastPrinted>2022-09-14T16:43:00Z</cp:lastPrinted>
  <dcterms:modified xsi:type="dcterms:W3CDTF">2022-09-23T16:38:57Z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613A1E081B9C42D48592B8D1656151BA</vt:lpwstr>
  </property>
</Properties>
</file>